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722EF" w14:textId="45009DF8" w:rsidR="00437120" w:rsidRDefault="00437120" w:rsidP="00437120">
      <w:pPr>
        <w:spacing w:line="480" w:lineRule="auto"/>
        <w:ind w:left="360" w:hanging="360"/>
        <w:jc w:val="center"/>
        <w:rPr>
          <w:rFonts w:ascii="Times New Roman" w:hAnsi="Times New Roman" w:cs="Times New Roman"/>
          <w:b/>
          <w:sz w:val="40"/>
          <w:szCs w:val="40"/>
        </w:rPr>
      </w:pPr>
      <w:r>
        <w:rPr>
          <w:rFonts w:ascii="Times New Roman" w:hAnsi="Times New Roman" w:cs="Times New Roman"/>
          <w:b/>
          <w:sz w:val="40"/>
          <w:szCs w:val="40"/>
        </w:rPr>
        <w:t>False Claims Act Developments: 2020 Year in Review</w:t>
      </w:r>
    </w:p>
    <w:p w14:paraId="43B91CBE" w14:textId="32FF3F0D" w:rsidR="00324562" w:rsidRPr="001261E1" w:rsidRDefault="00324562" w:rsidP="001261E1">
      <w:pPr>
        <w:spacing w:line="480" w:lineRule="auto"/>
        <w:ind w:left="360" w:hanging="360"/>
        <w:jc w:val="center"/>
        <w:rPr>
          <w:rFonts w:ascii="Times New Roman" w:hAnsi="Times New Roman" w:cs="Times New Roman"/>
          <w:b/>
          <w:sz w:val="32"/>
          <w:szCs w:val="32"/>
        </w:rPr>
      </w:pPr>
      <w:r>
        <w:rPr>
          <w:rFonts w:ascii="Times New Roman" w:hAnsi="Times New Roman" w:cs="Times New Roman"/>
          <w:b/>
          <w:sz w:val="32"/>
          <w:szCs w:val="32"/>
        </w:rPr>
        <w:t xml:space="preserve">By Emma </w:t>
      </w:r>
      <w:r w:rsidR="00890D9D">
        <w:rPr>
          <w:rFonts w:ascii="Times New Roman" w:hAnsi="Times New Roman" w:cs="Times New Roman"/>
          <w:b/>
          <w:sz w:val="32"/>
          <w:szCs w:val="32"/>
        </w:rPr>
        <w:t xml:space="preserve">K. </w:t>
      </w:r>
      <w:r>
        <w:rPr>
          <w:rFonts w:ascii="Times New Roman" w:hAnsi="Times New Roman" w:cs="Times New Roman"/>
          <w:b/>
          <w:sz w:val="32"/>
          <w:szCs w:val="32"/>
        </w:rPr>
        <w:t>Bass</w:t>
      </w:r>
      <w:r>
        <w:rPr>
          <w:rStyle w:val="FootnoteReference"/>
          <w:rFonts w:ascii="Times New Roman" w:hAnsi="Times New Roman" w:cs="Times New Roman"/>
          <w:b/>
          <w:sz w:val="32"/>
          <w:szCs w:val="32"/>
        </w:rPr>
        <w:footnoteReference w:id="1"/>
      </w:r>
    </w:p>
    <w:p w14:paraId="2C878928" w14:textId="67B6074B" w:rsidR="00DA7965" w:rsidRPr="00036809" w:rsidRDefault="00675801" w:rsidP="001261E1">
      <w:pPr>
        <w:spacing w:line="480" w:lineRule="auto"/>
        <w:ind w:firstLine="360"/>
        <w:rPr>
          <w:rFonts w:ascii="Times New Roman" w:hAnsi="Times New Roman" w:cs="Times New Roman"/>
          <w:color w:val="000000" w:themeColor="text1"/>
          <w:sz w:val="24"/>
          <w:szCs w:val="24"/>
        </w:rPr>
      </w:pPr>
      <w:r w:rsidRPr="00036809">
        <w:rPr>
          <w:rFonts w:ascii="Times New Roman" w:hAnsi="Times New Roman" w:cs="Times New Roman"/>
          <w:color w:val="000000" w:themeColor="text1"/>
          <w:sz w:val="24"/>
          <w:szCs w:val="24"/>
        </w:rPr>
        <w:t>The past year has been historic</w:t>
      </w:r>
      <w:r w:rsidR="004623CB" w:rsidRPr="00036809">
        <w:rPr>
          <w:rFonts w:ascii="Times New Roman" w:hAnsi="Times New Roman" w:cs="Times New Roman"/>
          <w:color w:val="000000" w:themeColor="text1"/>
          <w:sz w:val="24"/>
          <w:szCs w:val="24"/>
        </w:rPr>
        <w:t xml:space="preserve"> </w:t>
      </w:r>
      <w:r w:rsidRPr="00036809">
        <w:rPr>
          <w:rFonts w:ascii="Times New Roman" w:hAnsi="Times New Roman" w:cs="Times New Roman"/>
          <w:color w:val="000000" w:themeColor="text1"/>
          <w:sz w:val="24"/>
          <w:szCs w:val="24"/>
        </w:rPr>
        <w:t xml:space="preserve">for many reasons, including but not limited to a once in a lifetime pandemic, a dramatic election season, and the transition to a new </w:t>
      </w:r>
      <w:r w:rsidR="00AC7378">
        <w:rPr>
          <w:rFonts w:ascii="Times New Roman" w:hAnsi="Times New Roman" w:cs="Times New Roman"/>
          <w:color w:val="000000" w:themeColor="text1"/>
          <w:sz w:val="24"/>
          <w:szCs w:val="24"/>
        </w:rPr>
        <w:t xml:space="preserve">Presidential </w:t>
      </w:r>
      <w:r w:rsidRPr="00036809">
        <w:rPr>
          <w:rFonts w:ascii="Times New Roman" w:hAnsi="Times New Roman" w:cs="Times New Roman"/>
          <w:color w:val="000000" w:themeColor="text1"/>
          <w:sz w:val="24"/>
          <w:szCs w:val="24"/>
        </w:rPr>
        <w:t>administration. Along with these major events, there ha</w:t>
      </w:r>
      <w:r w:rsidR="00437120">
        <w:rPr>
          <w:rFonts w:ascii="Times New Roman" w:hAnsi="Times New Roman" w:cs="Times New Roman"/>
          <w:color w:val="000000" w:themeColor="text1"/>
          <w:sz w:val="24"/>
          <w:szCs w:val="24"/>
        </w:rPr>
        <w:t>ve</w:t>
      </w:r>
      <w:r w:rsidRPr="00036809">
        <w:rPr>
          <w:rFonts w:ascii="Times New Roman" w:hAnsi="Times New Roman" w:cs="Times New Roman"/>
          <w:color w:val="000000" w:themeColor="text1"/>
          <w:sz w:val="24"/>
          <w:szCs w:val="24"/>
        </w:rPr>
        <w:t xml:space="preserve"> been consequential developments </w:t>
      </w:r>
      <w:r w:rsidR="00437120">
        <w:rPr>
          <w:rFonts w:ascii="Times New Roman" w:hAnsi="Times New Roman" w:cs="Times New Roman"/>
          <w:color w:val="000000" w:themeColor="text1"/>
          <w:sz w:val="24"/>
          <w:szCs w:val="24"/>
        </w:rPr>
        <w:t>for</w:t>
      </w:r>
      <w:r w:rsidRPr="00036809">
        <w:rPr>
          <w:rFonts w:ascii="Times New Roman" w:hAnsi="Times New Roman" w:cs="Times New Roman"/>
          <w:color w:val="000000" w:themeColor="text1"/>
          <w:sz w:val="24"/>
          <w:szCs w:val="24"/>
        </w:rPr>
        <w:t xml:space="preserve"> the False Claims Act</w:t>
      </w:r>
      <w:r w:rsidR="00AC7378">
        <w:rPr>
          <w:rFonts w:ascii="Times New Roman" w:hAnsi="Times New Roman" w:cs="Times New Roman"/>
          <w:color w:val="000000" w:themeColor="text1"/>
          <w:sz w:val="24"/>
          <w:szCs w:val="24"/>
        </w:rPr>
        <w:t xml:space="preserve"> </w:t>
      </w:r>
      <w:r w:rsidR="00437120">
        <w:rPr>
          <w:rFonts w:ascii="Times New Roman" w:hAnsi="Times New Roman" w:cs="Times New Roman"/>
          <w:color w:val="000000" w:themeColor="text1"/>
          <w:sz w:val="24"/>
          <w:szCs w:val="24"/>
        </w:rPr>
        <w:t>(FCA)</w:t>
      </w:r>
      <w:r w:rsidR="008061D4" w:rsidRPr="00036809">
        <w:rPr>
          <w:rFonts w:ascii="Times New Roman" w:hAnsi="Times New Roman" w:cs="Times New Roman"/>
          <w:color w:val="000000" w:themeColor="text1"/>
          <w:sz w:val="24"/>
          <w:szCs w:val="24"/>
        </w:rPr>
        <w:t xml:space="preserve">. </w:t>
      </w:r>
      <w:r w:rsidR="00437120">
        <w:rPr>
          <w:rFonts w:ascii="Times New Roman" w:hAnsi="Times New Roman" w:cs="Times New Roman"/>
          <w:color w:val="000000" w:themeColor="text1"/>
          <w:sz w:val="24"/>
          <w:szCs w:val="24"/>
        </w:rPr>
        <w:t>I</w:t>
      </w:r>
      <w:r w:rsidR="001647A1" w:rsidRPr="00036809">
        <w:rPr>
          <w:rFonts w:ascii="Times New Roman" w:hAnsi="Times New Roman" w:cs="Times New Roman"/>
          <w:color w:val="000000" w:themeColor="text1"/>
          <w:sz w:val="24"/>
          <w:szCs w:val="24"/>
        </w:rPr>
        <w:t>n 2020</w:t>
      </w:r>
      <w:r w:rsidR="00AC7378">
        <w:rPr>
          <w:rFonts w:ascii="Times New Roman" w:hAnsi="Times New Roman" w:cs="Times New Roman"/>
          <w:color w:val="000000" w:themeColor="text1"/>
          <w:sz w:val="24"/>
          <w:szCs w:val="24"/>
        </w:rPr>
        <w:t>,</w:t>
      </w:r>
      <w:r w:rsidR="001647A1" w:rsidRPr="00036809">
        <w:rPr>
          <w:rFonts w:ascii="Times New Roman" w:hAnsi="Times New Roman" w:cs="Times New Roman"/>
          <w:color w:val="000000" w:themeColor="text1"/>
          <w:sz w:val="24"/>
          <w:szCs w:val="24"/>
        </w:rPr>
        <w:t xml:space="preserve"> </w:t>
      </w:r>
      <w:r w:rsidR="0013472A" w:rsidRPr="00036809">
        <w:rPr>
          <w:rFonts w:ascii="Times New Roman" w:hAnsi="Times New Roman" w:cs="Times New Roman"/>
          <w:color w:val="000000" w:themeColor="text1"/>
          <w:sz w:val="24"/>
          <w:szCs w:val="24"/>
        </w:rPr>
        <w:t xml:space="preserve">the Department of Justice </w:t>
      </w:r>
      <w:r w:rsidR="00437120">
        <w:rPr>
          <w:rFonts w:ascii="Times New Roman" w:hAnsi="Times New Roman" w:cs="Times New Roman"/>
          <w:color w:val="000000" w:themeColor="text1"/>
          <w:sz w:val="24"/>
          <w:szCs w:val="24"/>
        </w:rPr>
        <w:t xml:space="preserve">(DOJ) </w:t>
      </w:r>
      <w:r w:rsidR="001647A1" w:rsidRPr="00036809">
        <w:rPr>
          <w:rFonts w:ascii="Times New Roman" w:hAnsi="Times New Roman" w:cs="Times New Roman"/>
          <w:color w:val="000000" w:themeColor="text1"/>
          <w:sz w:val="24"/>
          <w:szCs w:val="24"/>
        </w:rPr>
        <w:t xml:space="preserve">recorded a total of $2.2 billion in </w:t>
      </w:r>
      <w:r w:rsidR="00437120">
        <w:rPr>
          <w:rFonts w:ascii="Times New Roman" w:hAnsi="Times New Roman" w:cs="Times New Roman"/>
          <w:color w:val="000000" w:themeColor="text1"/>
          <w:sz w:val="24"/>
          <w:szCs w:val="24"/>
        </w:rPr>
        <w:t>recoveries resulting from</w:t>
      </w:r>
      <w:r w:rsidR="001647A1" w:rsidRPr="00036809">
        <w:rPr>
          <w:rFonts w:ascii="Times New Roman" w:hAnsi="Times New Roman" w:cs="Times New Roman"/>
          <w:color w:val="000000" w:themeColor="text1"/>
          <w:sz w:val="24"/>
          <w:szCs w:val="24"/>
        </w:rPr>
        <w:t xml:space="preserve"> False Claim Act actions, which brings the total to $64 billion since </w:t>
      </w:r>
      <w:r w:rsidR="00437120">
        <w:rPr>
          <w:rFonts w:ascii="Times New Roman" w:hAnsi="Times New Roman" w:cs="Times New Roman"/>
          <w:color w:val="000000" w:themeColor="text1"/>
          <w:sz w:val="24"/>
          <w:szCs w:val="24"/>
        </w:rPr>
        <w:t xml:space="preserve">the </w:t>
      </w:r>
      <w:r w:rsidR="001647A1" w:rsidRPr="00036809">
        <w:rPr>
          <w:rFonts w:ascii="Times New Roman" w:hAnsi="Times New Roman" w:cs="Times New Roman"/>
          <w:color w:val="000000" w:themeColor="text1"/>
          <w:sz w:val="24"/>
          <w:szCs w:val="24"/>
        </w:rPr>
        <w:t>1986</w:t>
      </w:r>
      <w:r w:rsidR="00437120">
        <w:rPr>
          <w:rFonts w:ascii="Times New Roman" w:hAnsi="Times New Roman" w:cs="Times New Roman"/>
          <w:color w:val="000000" w:themeColor="text1"/>
          <w:sz w:val="24"/>
          <w:szCs w:val="24"/>
        </w:rPr>
        <w:t xml:space="preserve"> amendments</w:t>
      </w:r>
      <w:r w:rsidR="001647A1" w:rsidRPr="00036809">
        <w:rPr>
          <w:rFonts w:ascii="Times New Roman" w:hAnsi="Times New Roman" w:cs="Times New Roman"/>
          <w:color w:val="000000" w:themeColor="text1"/>
          <w:sz w:val="24"/>
          <w:szCs w:val="24"/>
        </w:rPr>
        <w:t>.</w:t>
      </w:r>
      <w:r w:rsidR="00D27BB4" w:rsidRPr="00036809">
        <w:rPr>
          <w:rStyle w:val="FootnoteReference"/>
          <w:rFonts w:ascii="Times New Roman" w:hAnsi="Times New Roman" w:cs="Times New Roman"/>
          <w:color w:val="000000" w:themeColor="text1"/>
          <w:sz w:val="24"/>
          <w:szCs w:val="24"/>
        </w:rPr>
        <w:footnoteReference w:id="2"/>
      </w:r>
      <w:r w:rsidR="001647A1" w:rsidRPr="00036809">
        <w:rPr>
          <w:rFonts w:ascii="Times New Roman" w:hAnsi="Times New Roman" w:cs="Times New Roman"/>
          <w:color w:val="000000" w:themeColor="text1"/>
          <w:sz w:val="24"/>
          <w:szCs w:val="24"/>
        </w:rPr>
        <w:t xml:space="preserve"> The DOJ notes that $1.8 billion was related to healthcare </w:t>
      </w:r>
      <w:r w:rsidR="00D27BB4" w:rsidRPr="00036809">
        <w:rPr>
          <w:rFonts w:ascii="Times New Roman" w:hAnsi="Times New Roman" w:cs="Times New Roman"/>
          <w:color w:val="000000" w:themeColor="text1"/>
          <w:sz w:val="24"/>
          <w:szCs w:val="24"/>
        </w:rPr>
        <w:t xml:space="preserve">fraud schemes such as paying kickbacks to doctors, </w:t>
      </w:r>
      <w:r w:rsidR="00437120">
        <w:rPr>
          <w:rFonts w:ascii="Times New Roman" w:hAnsi="Times New Roman" w:cs="Times New Roman"/>
          <w:color w:val="000000" w:themeColor="text1"/>
          <w:sz w:val="24"/>
          <w:szCs w:val="24"/>
        </w:rPr>
        <w:t xml:space="preserve">improperly </w:t>
      </w:r>
      <w:r w:rsidR="00D27BB4" w:rsidRPr="00036809">
        <w:rPr>
          <w:rFonts w:ascii="Times New Roman" w:hAnsi="Times New Roman" w:cs="Times New Roman"/>
          <w:color w:val="000000" w:themeColor="text1"/>
          <w:sz w:val="24"/>
          <w:szCs w:val="24"/>
        </w:rPr>
        <w:t>utilizing co-pay foundations, and billing for medically unnecessary procedures</w:t>
      </w:r>
      <w:r w:rsidR="001647A1" w:rsidRPr="00036809">
        <w:rPr>
          <w:rFonts w:ascii="Times New Roman" w:hAnsi="Times New Roman" w:cs="Times New Roman"/>
          <w:color w:val="000000" w:themeColor="text1"/>
          <w:sz w:val="24"/>
          <w:szCs w:val="24"/>
        </w:rPr>
        <w:t>.</w:t>
      </w:r>
      <w:r w:rsidR="00D27BB4" w:rsidRPr="00036809">
        <w:rPr>
          <w:rStyle w:val="FootnoteReference"/>
          <w:rFonts w:ascii="Times New Roman" w:hAnsi="Times New Roman" w:cs="Times New Roman"/>
          <w:color w:val="000000" w:themeColor="text1"/>
          <w:sz w:val="24"/>
          <w:szCs w:val="24"/>
        </w:rPr>
        <w:footnoteReference w:id="3"/>
      </w:r>
      <w:r w:rsidR="001647A1" w:rsidRPr="00036809">
        <w:rPr>
          <w:rFonts w:ascii="Times New Roman" w:hAnsi="Times New Roman" w:cs="Times New Roman"/>
          <w:color w:val="000000" w:themeColor="text1"/>
          <w:sz w:val="24"/>
          <w:szCs w:val="24"/>
        </w:rPr>
        <w:t xml:space="preserve"> The DOJ also highlighted other substantial recoveries </w:t>
      </w:r>
      <w:r w:rsidR="00437120">
        <w:rPr>
          <w:rFonts w:ascii="Times New Roman" w:hAnsi="Times New Roman" w:cs="Times New Roman"/>
          <w:color w:val="000000" w:themeColor="text1"/>
          <w:sz w:val="24"/>
          <w:szCs w:val="24"/>
        </w:rPr>
        <w:t>involving</w:t>
      </w:r>
      <w:r w:rsidR="001647A1" w:rsidRPr="00036809">
        <w:rPr>
          <w:rFonts w:ascii="Times New Roman" w:hAnsi="Times New Roman" w:cs="Times New Roman"/>
          <w:color w:val="000000" w:themeColor="text1"/>
          <w:sz w:val="24"/>
          <w:szCs w:val="24"/>
        </w:rPr>
        <w:t xml:space="preserve"> procurement fraud</w:t>
      </w:r>
      <w:r w:rsidR="00437120">
        <w:rPr>
          <w:rFonts w:ascii="Times New Roman" w:hAnsi="Times New Roman" w:cs="Times New Roman"/>
          <w:color w:val="000000" w:themeColor="text1"/>
          <w:sz w:val="24"/>
          <w:szCs w:val="24"/>
        </w:rPr>
        <w:t xml:space="preserve"> in which </w:t>
      </w:r>
      <w:r w:rsidR="00D27BB4" w:rsidRPr="00036809">
        <w:rPr>
          <w:rFonts w:ascii="Times New Roman" w:hAnsi="Times New Roman" w:cs="Times New Roman"/>
          <w:color w:val="000000" w:themeColor="text1"/>
          <w:sz w:val="24"/>
          <w:szCs w:val="24"/>
        </w:rPr>
        <w:t>federal contractors overbilled for labor and violated contract</w:t>
      </w:r>
      <w:r w:rsidR="00AC7378">
        <w:rPr>
          <w:rFonts w:ascii="Times New Roman" w:hAnsi="Times New Roman" w:cs="Times New Roman"/>
          <w:color w:val="000000" w:themeColor="text1"/>
          <w:sz w:val="24"/>
          <w:szCs w:val="24"/>
        </w:rPr>
        <w:t>ual</w:t>
      </w:r>
      <w:r w:rsidR="00D27BB4" w:rsidRPr="00036809">
        <w:rPr>
          <w:rFonts w:ascii="Times New Roman" w:hAnsi="Times New Roman" w:cs="Times New Roman"/>
          <w:color w:val="000000" w:themeColor="text1"/>
          <w:sz w:val="24"/>
          <w:szCs w:val="24"/>
        </w:rPr>
        <w:t xml:space="preserve"> requirements.</w:t>
      </w:r>
      <w:r w:rsidR="00D27BB4" w:rsidRPr="00036809">
        <w:rPr>
          <w:rStyle w:val="FootnoteReference"/>
          <w:rFonts w:ascii="Times New Roman" w:hAnsi="Times New Roman" w:cs="Times New Roman"/>
          <w:color w:val="000000" w:themeColor="text1"/>
          <w:sz w:val="24"/>
          <w:szCs w:val="24"/>
        </w:rPr>
        <w:footnoteReference w:id="4"/>
      </w:r>
      <w:r w:rsidR="00D27BB4" w:rsidRPr="00036809">
        <w:rPr>
          <w:rFonts w:ascii="Times New Roman" w:hAnsi="Times New Roman" w:cs="Times New Roman"/>
          <w:color w:val="000000" w:themeColor="text1"/>
          <w:sz w:val="24"/>
          <w:szCs w:val="24"/>
        </w:rPr>
        <w:t xml:space="preserve"> Further, $1.6 billion of this $2.2 billion came from actions brought by whistleblowers under the FCA’s </w:t>
      </w:r>
      <w:r w:rsidR="00D27BB4" w:rsidRPr="00036809">
        <w:rPr>
          <w:rFonts w:ascii="Times New Roman" w:hAnsi="Times New Roman" w:cs="Times New Roman"/>
          <w:i/>
          <w:color w:val="000000" w:themeColor="text1"/>
          <w:sz w:val="24"/>
          <w:szCs w:val="24"/>
        </w:rPr>
        <w:t xml:space="preserve">qui tam </w:t>
      </w:r>
      <w:r w:rsidR="00D27BB4" w:rsidRPr="00036809">
        <w:rPr>
          <w:rFonts w:ascii="Times New Roman" w:hAnsi="Times New Roman" w:cs="Times New Roman"/>
          <w:color w:val="000000" w:themeColor="text1"/>
          <w:sz w:val="24"/>
          <w:szCs w:val="24"/>
        </w:rPr>
        <w:t>provisions.</w:t>
      </w:r>
      <w:r w:rsidR="00D27BB4" w:rsidRPr="00036809">
        <w:rPr>
          <w:rStyle w:val="FootnoteReference"/>
          <w:rFonts w:ascii="Times New Roman" w:hAnsi="Times New Roman" w:cs="Times New Roman"/>
          <w:color w:val="000000" w:themeColor="text1"/>
          <w:sz w:val="24"/>
          <w:szCs w:val="24"/>
        </w:rPr>
        <w:footnoteReference w:id="5"/>
      </w:r>
      <w:r w:rsidR="00DA7965" w:rsidRPr="00036809">
        <w:rPr>
          <w:rFonts w:ascii="Times New Roman" w:hAnsi="Times New Roman" w:cs="Times New Roman"/>
          <w:color w:val="000000" w:themeColor="text1"/>
          <w:sz w:val="24"/>
          <w:szCs w:val="24"/>
        </w:rPr>
        <w:t xml:space="preserve"> </w:t>
      </w:r>
    </w:p>
    <w:p w14:paraId="11196E8C" w14:textId="5E0E7A59" w:rsidR="004E5F4E" w:rsidRPr="00036809" w:rsidRDefault="000F593B" w:rsidP="001261E1">
      <w:pPr>
        <w:spacing w:line="480" w:lineRule="auto"/>
        <w:ind w:firstLine="360"/>
        <w:rPr>
          <w:rFonts w:ascii="Times New Roman" w:hAnsi="Times New Roman" w:cs="Times New Roman"/>
          <w:color w:val="000000" w:themeColor="text1"/>
          <w:sz w:val="24"/>
          <w:szCs w:val="24"/>
        </w:rPr>
      </w:pPr>
      <w:r w:rsidRPr="00036809">
        <w:rPr>
          <w:rFonts w:ascii="Times New Roman" w:hAnsi="Times New Roman" w:cs="Times New Roman"/>
          <w:color w:val="000000" w:themeColor="text1"/>
          <w:sz w:val="24"/>
          <w:szCs w:val="24"/>
        </w:rPr>
        <w:t xml:space="preserve">We are </w:t>
      </w:r>
      <w:r w:rsidR="00252FD4" w:rsidRPr="00036809">
        <w:rPr>
          <w:rFonts w:ascii="Times New Roman" w:hAnsi="Times New Roman" w:cs="Times New Roman"/>
          <w:color w:val="000000" w:themeColor="text1"/>
          <w:sz w:val="24"/>
          <w:szCs w:val="24"/>
        </w:rPr>
        <w:t xml:space="preserve">tracking </w:t>
      </w:r>
      <w:r w:rsidR="00DA7965" w:rsidRPr="00036809">
        <w:rPr>
          <w:rFonts w:ascii="Times New Roman" w:hAnsi="Times New Roman" w:cs="Times New Roman"/>
          <w:color w:val="000000" w:themeColor="text1"/>
          <w:sz w:val="24"/>
          <w:szCs w:val="24"/>
        </w:rPr>
        <w:t>FCA settlements, and we predict this number will increase due to the unprecedented economic crisis connected to the COVID-19 pandemic and the government</w:t>
      </w:r>
      <w:r w:rsidR="00AC7378">
        <w:rPr>
          <w:rFonts w:ascii="Times New Roman" w:hAnsi="Times New Roman" w:cs="Times New Roman"/>
          <w:color w:val="000000" w:themeColor="text1"/>
          <w:sz w:val="24"/>
          <w:szCs w:val="24"/>
        </w:rPr>
        <w:t>-</w:t>
      </w:r>
      <w:r w:rsidR="00DA7965" w:rsidRPr="00036809">
        <w:rPr>
          <w:rFonts w:ascii="Times New Roman" w:hAnsi="Times New Roman" w:cs="Times New Roman"/>
          <w:color w:val="000000" w:themeColor="text1"/>
          <w:sz w:val="24"/>
          <w:szCs w:val="24"/>
        </w:rPr>
        <w:t xml:space="preserve">spending bills passed to combat it. </w:t>
      </w:r>
      <w:r w:rsidR="00645E5E" w:rsidRPr="00036809">
        <w:rPr>
          <w:rFonts w:ascii="Times New Roman" w:hAnsi="Times New Roman" w:cs="Times New Roman"/>
          <w:color w:val="000000" w:themeColor="text1"/>
          <w:sz w:val="24"/>
          <w:szCs w:val="24"/>
        </w:rPr>
        <w:t>On March 29, 2020, Congress passed th</w:t>
      </w:r>
      <w:r w:rsidR="00036809">
        <w:rPr>
          <w:rFonts w:ascii="Times New Roman" w:hAnsi="Times New Roman" w:cs="Times New Roman"/>
          <w:color w:val="000000" w:themeColor="text1"/>
          <w:sz w:val="24"/>
          <w:szCs w:val="24"/>
        </w:rPr>
        <w:t>e nearly $2 trillion CARES Act, and r</w:t>
      </w:r>
      <w:r w:rsidR="00DA7965" w:rsidRPr="00036809">
        <w:rPr>
          <w:rFonts w:ascii="Times New Roman" w:hAnsi="Times New Roman" w:cs="Times New Roman"/>
          <w:color w:val="000000" w:themeColor="text1"/>
          <w:sz w:val="24"/>
          <w:szCs w:val="24"/>
        </w:rPr>
        <w:t>ecently, the DOJ announced the first</w:t>
      </w:r>
      <w:r w:rsidR="00437120">
        <w:rPr>
          <w:rFonts w:ascii="Times New Roman" w:hAnsi="Times New Roman" w:cs="Times New Roman"/>
          <w:color w:val="000000" w:themeColor="text1"/>
          <w:sz w:val="24"/>
          <w:szCs w:val="24"/>
        </w:rPr>
        <w:t xml:space="preserve"> FCA</w:t>
      </w:r>
      <w:r w:rsidR="00DA7965" w:rsidRPr="00036809">
        <w:rPr>
          <w:rFonts w:ascii="Times New Roman" w:hAnsi="Times New Roman" w:cs="Times New Roman"/>
          <w:color w:val="000000" w:themeColor="text1"/>
          <w:sz w:val="24"/>
          <w:szCs w:val="24"/>
        </w:rPr>
        <w:t xml:space="preserve"> settle</w:t>
      </w:r>
      <w:r w:rsidR="00645E5E" w:rsidRPr="00036809">
        <w:rPr>
          <w:rFonts w:ascii="Times New Roman" w:hAnsi="Times New Roman" w:cs="Times New Roman"/>
          <w:color w:val="000000" w:themeColor="text1"/>
          <w:sz w:val="24"/>
          <w:szCs w:val="24"/>
        </w:rPr>
        <w:t>ment regarding CARES Act fraud in the Eastern District of California.</w:t>
      </w:r>
      <w:r w:rsidR="00394636">
        <w:rPr>
          <w:rStyle w:val="FootnoteReference"/>
          <w:rFonts w:ascii="Times New Roman" w:hAnsi="Times New Roman" w:cs="Times New Roman"/>
          <w:color w:val="000000" w:themeColor="text1"/>
          <w:sz w:val="24"/>
          <w:szCs w:val="24"/>
        </w:rPr>
        <w:footnoteReference w:id="6"/>
      </w:r>
      <w:r w:rsidR="00645E5E" w:rsidRPr="00036809">
        <w:rPr>
          <w:rFonts w:ascii="Times New Roman" w:hAnsi="Times New Roman" w:cs="Times New Roman"/>
          <w:color w:val="000000" w:themeColor="text1"/>
          <w:sz w:val="24"/>
          <w:szCs w:val="24"/>
        </w:rPr>
        <w:t xml:space="preserve"> </w:t>
      </w:r>
      <w:r w:rsidR="00AC7378">
        <w:rPr>
          <w:rFonts w:ascii="Times New Roman" w:hAnsi="Times New Roman" w:cs="Times New Roman"/>
          <w:color w:val="000000" w:themeColor="text1"/>
          <w:sz w:val="24"/>
          <w:szCs w:val="24"/>
        </w:rPr>
        <w:t xml:space="preserve">In this case, </w:t>
      </w:r>
      <w:r w:rsidR="00645E5E" w:rsidRPr="00036809">
        <w:rPr>
          <w:rFonts w:ascii="Times New Roman" w:hAnsi="Times New Roman" w:cs="Times New Roman"/>
          <w:color w:val="000000" w:themeColor="text1"/>
          <w:sz w:val="24"/>
          <w:szCs w:val="24"/>
        </w:rPr>
        <w:t xml:space="preserve">Slidebelts, Inc. agreed to pay $100,000 to </w:t>
      </w:r>
      <w:r w:rsidR="00645E5E" w:rsidRPr="00036809">
        <w:rPr>
          <w:rFonts w:ascii="Times New Roman" w:hAnsi="Times New Roman" w:cs="Times New Roman"/>
          <w:color w:val="000000" w:themeColor="text1"/>
          <w:sz w:val="24"/>
          <w:szCs w:val="24"/>
        </w:rPr>
        <w:lastRenderedPageBreak/>
        <w:t>settle allegations that they defrauded the government by submitting false statements to banks that indicated they were not in bankruptcy in order to receive payment from the</w:t>
      </w:r>
      <w:r w:rsidR="00036809">
        <w:rPr>
          <w:rFonts w:ascii="Times New Roman" w:hAnsi="Times New Roman" w:cs="Times New Roman"/>
          <w:color w:val="000000" w:themeColor="text1"/>
          <w:sz w:val="24"/>
          <w:szCs w:val="24"/>
        </w:rPr>
        <w:t xml:space="preserve"> </w:t>
      </w:r>
      <w:r w:rsidR="00645E5E" w:rsidRPr="00036809">
        <w:rPr>
          <w:rFonts w:ascii="Times New Roman" w:hAnsi="Times New Roman" w:cs="Times New Roman"/>
          <w:color w:val="000000" w:themeColor="text1"/>
          <w:sz w:val="24"/>
          <w:szCs w:val="24"/>
        </w:rPr>
        <w:t>Paycheck Protection Program</w:t>
      </w:r>
      <w:r w:rsidR="00AC7378">
        <w:rPr>
          <w:rFonts w:ascii="Times New Roman" w:hAnsi="Times New Roman" w:cs="Times New Roman"/>
          <w:color w:val="000000" w:themeColor="text1"/>
          <w:sz w:val="24"/>
          <w:szCs w:val="24"/>
        </w:rPr>
        <w:t xml:space="preserve"> (PPP)</w:t>
      </w:r>
      <w:r w:rsidR="00645E5E" w:rsidRPr="00036809">
        <w:rPr>
          <w:rFonts w:ascii="Times New Roman" w:hAnsi="Times New Roman" w:cs="Times New Roman"/>
          <w:color w:val="000000" w:themeColor="text1"/>
          <w:sz w:val="24"/>
          <w:szCs w:val="24"/>
        </w:rPr>
        <w:t>.</w:t>
      </w:r>
      <w:r w:rsidR="00394636">
        <w:rPr>
          <w:rStyle w:val="FootnoteReference"/>
          <w:rFonts w:ascii="Times New Roman" w:hAnsi="Times New Roman" w:cs="Times New Roman"/>
          <w:color w:val="000000" w:themeColor="text1"/>
          <w:sz w:val="24"/>
          <w:szCs w:val="24"/>
        </w:rPr>
        <w:footnoteReference w:id="7"/>
      </w:r>
      <w:r w:rsidR="00645E5E" w:rsidRPr="00036809">
        <w:rPr>
          <w:rFonts w:ascii="Times New Roman" w:hAnsi="Times New Roman" w:cs="Times New Roman"/>
          <w:color w:val="000000" w:themeColor="text1"/>
          <w:sz w:val="24"/>
          <w:szCs w:val="24"/>
        </w:rPr>
        <w:t xml:space="preserve"> In addition to this $100,000, they returned their entire $350,000 PPP loan.</w:t>
      </w:r>
      <w:r w:rsidR="00394636">
        <w:rPr>
          <w:rStyle w:val="FootnoteReference"/>
          <w:rFonts w:ascii="Times New Roman" w:hAnsi="Times New Roman" w:cs="Times New Roman"/>
          <w:color w:val="000000" w:themeColor="text1"/>
          <w:sz w:val="24"/>
          <w:szCs w:val="24"/>
        </w:rPr>
        <w:footnoteReference w:id="8"/>
      </w:r>
      <w:r w:rsidR="00645E5E" w:rsidRPr="00036809">
        <w:rPr>
          <w:rFonts w:ascii="Times New Roman" w:hAnsi="Times New Roman" w:cs="Times New Roman"/>
          <w:color w:val="000000" w:themeColor="text1"/>
          <w:sz w:val="24"/>
          <w:szCs w:val="24"/>
        </w:rPr>
        <w:t xml:space="preserve"> There will certainly be more CARES Act settlements to come, a</w:t>
      </w:r>
      <w:r w:rsidR="00A31FD4">
        <w:rPr>
          <w:rFonts w:ascii="Times New Roman" w:hAnsi="Times New Roman" w:cs="Times New Roman"/>
          <w:color w:val="000000" w:themeColor="text1"/>
          <w:sz w:val="24"/>
          <w:szCs w:val="24"/>
        </w:rPr>
        <w:t>nd with the new administration (</w:t>
      </w:r>
      <w:r w:rsidR="00645E5E" w:rsidRPr="00036809">
        <w:rPr>
          <w:rFonts w:ascii="Times New Roman" w:hAnsi="Times New Roman" w:cs="Times New Roman"/>
          <w:color w:val="000000" w:themeColor="text1"/>
          <w:sz w:val="24"/>
          <w:szCs w:val="24"/>
        </w:rPr>
        <w:t>and President Biden</w:t>
      </w:r>
      <w:r w:rsidR="00A31FD4">
        <w:rPr>
          <w:rFonts w:ascii="Times New Roman" w:hAnsi="Times New Roman" w:cs="Times New Roman"/>
          <w:color w:val="000000" w:themeColor="text1"/>
          <w:sz w:val="24"/>
          <w:szCs w:val="24"/>
        </w:rPr>
        <w:t>’s proposed American Rescue Act),</w:t>
      </w:r>
      <w:r w:rsidR="00645E5E" w:rsidRPr="00036809">
        <w:rPr>
          <w:rFonts w:ascii="Times New Roman" w:hAnsi="Times New Roman" w:cs="Times New Roman"/>
          <w:color w:val="000000" w:themeColor="text1"/>
          <w:sz w:val="24"/>
          <w:szCs w:val="24"/>
        </w:rPr>
        <w:t xml:space="preserve"> there is likelihood that Congress will pass another significant package soon</w:t>
      </w:r>
      <w:r w:rsidR="004E5F4E" w:rsidRPr="00036809">
        <w:rPr>
          <w:rFonts w:ascii="Times New Roman" w:hAnsi="Times New Roman" w:cs="Times New Roman"/>
          <w:color w:val="000000" w:themeColor="text1"/>
          <w:sz w:val="24"/>
          <w:szCs w:val="24"/>
        </w:rPr>
        <w:t>.</w:t>
      </w:r>
      <w:r w:rsidR="00394636">
        <w:rPr>
          <w:rStyle w:val="FootnoteReference"/>
          <w:rFonts w:ascii="Times New Roman" w:hAnsi="Times New Roman" w:cs="Times New Roman"/>
          <w:color w:val="000000" w:themeColor="text1"/>
          <w:sz w:val="24"/>
          <w:szCs w:val="24"/>
        </w:rPr>
        <w:footnoteReference w:id="9"/>
      </w:r>
      <w:r w:rsidR="004E5F4E" w:rsidRPr="00036809">
        <w:rPr>
          <w:rFonts w:ascii="Times New Roman" w:hAnsi="Times New Roman" w:cs="Times New Roman"/>
          <w:color w:val="000000" w:themeColor="text1"/>
          <w:sz w:val="24"/>
          <w:szCs w:val="24"/>
        </w:rPr>
        <w:t xml:space="preserve"> In response to this, TAFEF has established a COVID-19 Anti-Fraud Task Force that works with federal and state governments</w:t>
      </w:r>
      <w:r w:rsidR="00437120">
        <w:rPr>
          <w:rFonts w:ascii="Times New Roman" w:hAnsi="Times New Roman" w:cs="Times New Roman"/>
          <w:color w:val="000000" w:themeColor="text1"/>
          <w:sz w:val="24"/>
          <w:szCs w:val="24"/>
        </w:rPr>
        <w:t xml:space="preserve"> </w:t>
      </w:r>
      <w:r w:rsidR="004E5F4E" w:rsidRPr="00036809">
        <w:rPr>
          <w:rFonts w:ascii="Times New Roman" w:hAnsi="Times New Roman" w:cs="Times New Roman"/>
          <w:color w:val="000000" w:themeColor="text1"/>
          <w:sz w:val="24"/>
          <w:szCs w:val="24"/>
        </w:rPr>
        <w:t xml:space="preserve">in order to identify COVID-19 fraud trends, and increase capability to tackle fraud schemes head on. </w:t>
      </w:r>
      <w:r w:rsidR="00545BDE" w:rsidRPr="00036809">
        <w:rPr>
          <w:rFonts w:ascii="Times New Roman" w:hAnsi="Times New Roman" w:cs="Times New Roman"/>
          <w:color w:val="000000" w:themeColor="text1"/>
          <w:sz w:val="24"/>
          <w:szCs w:val="24"/>
        </w:rPr>
        <w:t xml:space="preserve">As more cases come to light, we will keep our members </w:t>
      </w:r>
      <w:r w:rsidR="00AC7378">
        <w:rPr>
          <w:rFonts w:ascii="Times New Roman" w:hAnsi="Times New Roman" w:cs="Times New Roman"/>
          <w:color w:val="000000" w:themeColor="text1"/>
          <w:sz w:val="24"/>
          <w:szCs w:val="24"/>
        </w:rPr>
        <w:t xml:space="preserve">and the general public </w:t>
      </w:r>
      <w:r w:rsidR="00545BDE" w:rsidRPr="00036809">
        <w:rPr>
          <w:rFonts w:ascii="Times New Roman" w:hAnsi="Times New Roman" w:cs="Times New Roman"/>
          <w:color w:val="000000" w:themeColor="text1"/>
          <w:sz w:val="24"/>
          <w:szCs w:val="24"/>
        </w:rPr>
        <w:t xml:space="preserve">up to date on these developments. </w:t>
      </w:r>
    </w:p>
    <w:p w14:paraId="17B2A59D" w14:textId="6C7885FD" w:rsidR="004E5F4E" w:rsidRPr="00036809" w:rsidRDefault="004E5F4E" w:rsidP="001261E1">
      <w:pPr>
        <w:spacing w:line="480" w:lineRule="auto"/>
        <w:ind w:firstLine="360"/>
        <w:rPr>
          <w:rFonts w:ascii="Times New Roman" w:eastAsia="Times New Roman" w:hAnsi="Times New Roman" w:cs="Times New Roman"/>
          <w:color w:val="000000" w:themeColor="text1"/>
          <w:sz w:val="24"/>
          <w:szCs w:val="24"/>
          <w:lang w:val="en-US"/>
        </w:rPr>
      </w:pPr>
      <w:r w:rsidRPr="00036809">
        <w:rPr>
          <w:rFonts w:ascii="Times New Roman" w:hAnsi="Times New Roman" w:cs="Times New Roman"/>
          <w:color w:val="000000" w:themeColor="text1"/>
          <w:sz w:val="24"/>
          <w:szCs w:val="24"/>
        </w:rPr>
        <w:t>2020 has also been extremely busy on the litigation side of the False Claims Act.</w:t>
      </w:r>
      <w:r w:rsidR="00545BDE" w:rsidRPr="00036809">
        <w:rPr>
          <w:rFonts w:ascii="Times New Roman" w:hAnsi="Times New Roman" w:cs="Times New Roman"/>
          <w:color w:val="000000" w:themeColor="text1"/>
          <w:sz w:val="24"/>
          <w:szCs w:val="24"/>
        </w:rPr>
        <w:t xml:space="preserve"> Through the year, TAFEF played a key role, filing 11 </w:t>
      </w:r>
      <w:r w:rsidR="00545BDE" w:rsidRPr="001261E1">
        <w:rPr>
          <w:rFonts w:ascii="Times New Roman" w:hAnsi="Times New Roman" w:cs="Times New Roman"/>
          <w:i/>
          <w:color w:val="000000" w:themeColor="text1"/>
          <w:sz w:val="24"/>
          <w:szCs w:val="24"/>
        </w:rPr>
        <w:t>amicus curiae</w:t>
      </w:r>
      <w:r w:rsidR="00545BDE" w:rsidRPr="00036809">
        <w:rPr>
          <w:rFonts w:ascii="Times New Roman" w:hAnsi="Times New Roman" w:cs="Times New Roman"/>
          <w:color w:val="000000" w:themeColor="text1"/>
          <w:sz w:val="24"/>
          <w:szCs w:val="24"/>
        </w:rPr>
        <w:t xml:space="preserve"> briefs on issues ranging from </w:t>
      </w:r>
      <w:r w:rsidR="00036809" w:rsidRPr="00036809">
        <w:rPr>
          <w:rFonts w:ascii="Times New Roman" w:hAnsi="Times New Roman" w:cs="Times New Roman"/>
          <w:color w:val="000000" w:themeColor="text1"/>
          <w:sz w:val="24"/>
          <w:szCs w:val="24"/>
        </w:rPr>
        <w:t xml:space="preserve">the </w:t>
      </w:r>
      <w:r w:rsidR="00437120">
        <w:rPr>
          <w:rFonts w:ascii="Times New Roman" w:eastAsia="Times New Roman" w:hAnsi="Times New Roman" w:cs="Times New Roman"/>
          <w:color w:val="000000" w:themeColor="text1"/>
          <w:sz w:val="24"/>
          <w:szCs w:val="24"/>
          <w:lang w:val="en-US"/>
        </w:rPr>
        <w:t>FCA’s</w:t>
      </w:r>
      <w:r w:rsidR="00036809" w:rsidRPr="00036809">
        <w:rPr>
          <w:rFonts w:ascii="Times New Roman" w:eastAsia="Times New Roman" w:hAnsi="Times New Roman" w:cs="Times New Roman"/>
          <w:color w:val="000000" w:themeColor="text1"/>
          <w:sz w:val="24"/>
          <w:szCs w:val="24"/>
          <w:lang w:val="en-US"/>
        </w:rPr>
        <w:t xml:space="preserve"> knowledge standards to the public disclosure bar and original source exception. These </w:t>
      </w:r>
      <w:r w:rsidR="00AC7378">
        <w:rPr>
          <w:rFonts w:ascii="Times New Roman" w:eastAsia="Times New Roman" w:hAnsi="Times New Roman" w:cs="Times New Roman"/>
          <w:color w:val="000000" w:themeColor="text1"/>
          <w:sz w:val="24"/>
          <w:szCs w:val="24"/>
          <w:lang w:val="en-US"/>
        </w:rPr>
        <w:t xml:space="preserve">briefs </w:t>
      </w:r>
      <w:r w:rsidR="00036809" w:rsidRPr="00036809">
        <w:rPr>
          <w:rFonts w:ascii="Times New Roman" w:eastAsia="Times New Roman" w:hAnsi="Times New Roman" w:cs="Times New Roman"/>
          <w:color w:val="000000" w:themeColor="text1"/>
          <w:sz w:val="24"/>
          <w:szCs w:val="24"/>
          <w:lang w:val="en-US"/>
        </w:rPr>
        <w:t>were</w:t>
      </w:r>
      <w:r w:rsidR="00AC7378">
        <w:rPr>
          <w:rFonts w:ascii="Times New Roman" w:eastAsia="Times New Roman" w:hAnsi="Times New Roman" w:cs="Times New Roman"/>
          <w:color w:val="000000" w:themeColor="text1"/>
          <w:sz w:val="24"/>
          <w:szCs w:val="24"/>
          <w:lang w:val="en-US"/>
        </w:rPr>
        <w:t xml:space="preserve"> filed</w:t>
      </w:r>
      <w:r w:rsidR="00036809" w:rsidRPr="00036809">
        <w:rPr>
          <w:rFonts w:ascii="Times New Roman" w:eastAsia="Times New Roman" w:hAnsi="Times New Roman" w:cs="Times New Roman"/>
          <w:color w:val="000000" w:themeColor="text1"/>
          <w:sz w:val="24"/>
          <w:szCs w:val="24"/>
          <w:lang w:val="en-US"/>
        </w:rPr>
        <w:t xml:space="preserve"> </w:t>
      </w:r>
      <w:r w:rsidR="00545BDE" w:rsidRPr="00036809">
        <w:rPr>
          <w:rFonts w:ascii="Times New Roman" w:hAnsi="Times New Roman" w:cs="Times New Roman"/>
          <w:color w:val="000000" w:themeColor="text1"/>
          <w:sz w:val="24"/>
          <w:szCs w:val="24"/>
        </w:rPr>
        <w:t xml:space="preserve">with the help of many of our members on the </w:t>
      </w:r>
      <w:r w:rsidR="00545BDE" w:rsidRPr="00B367DA">
        <w:rPr>
          <w:rFonts w:ascii="Times New Roman" w:hAnsi="Times New Roman" w:cs="Times New Roman"/>
          <w:i/>
          <w:color w:val="000000" w:themeColor="text1"/>
          <w:sz w:val="24"/>
          <w:szCs w:val="24"/>
        </w:rPr>
        <w:t>Amicus</w:t>
      </w:r>
      <w:r w:rsidR="00545BDE" w:rsidRPr="00036809">
        <w:rPr>
          <w:rFonts w:ascii="Times New Roman" w:hAnsi="Times New Roman" w:cs="Times New Roman"/>
          <w:color w:val="000000" w:themeColor="text1"/>
          <w:sz w:val="24"/>
          <w:szCs w:val="24"/>
        </w:rPr>
        <w:t xml:space="preserve"> Committee. </w:t>
      </w:r>
      <w:r w:rsidR="00036809" w:rsidRPr="00036809">
        <w:rPr>
          <w:rFonts w:ascii="Times New Roman" w:hAnsi="Times New Roman" w:cs="Times New Roman"/>
          <w:color w:val="000000" w:themeColor="text1"/>
          <w:sz w:val="24"/>
          <w:szCs w:val="24"/>
        </w:rPr>
        <w:t>Below, we dive further into these topics and highlight major developments in case la</w:t>
      </w:r>
      <w:r w:rsidR="00A31FD4">
        <w:rPr>
          <w:rFonts w:ascii="Times New Roman" w:hAnsi="Times New Roman" w:cs="Times New Roman"/>
          <w:color w:val="000000" w:themeColor="text1"/>
          <w:sz w:val="24"/>
          <w:szCs w:val="24"/>
        </w:rPr>
        <w:t>w in various District and Circuit C</w:t>
      </w:r>
      <w:r w:rsidR="00036809" w:rsidRPr="00036809">
        <w:rPr>
          <w:rFonts w:ascii="Times New Roman" w:hAnsi="Times New Roman" w:cs="Times New Roman"/>
          <w:color w:val="000000" w:themeColor="text1"/>
          <w:sz w:val="24"/>
          <w:szCs w:val="24"/>
        </w:rPr>
        <w:t xml:space="preserve">ourts around the country, along with emerging trends </w:t>
      </w:r>
      <w:r w:rsidR="00A31FD4">
        <w:rPr>
          <w:rFonts w:ascii="Times New Roman" w:hAnsi="Times New Roman" w:cs="Times New Roman"/>
          <w:color w:val="000000" w:themeColor="text1"/>
          <w:sz w:val="24"/>
          <w:szCs w:val="24"/>
        </w:rPr>
        <w:t>such as</w:t>
      </w:r>
      <w:r w:rsidR="00036809" w:rsidRPr="00036809">
        <w:rPr>
          <w:rFonts w:ascii="Times New Roman" w:hAnsi="Times New Roman" w:cs="Times New Roman"/>
          <w:color w:val="000000" w:themeColor="text1"/>
          <w:sz w:val="24"/>
          <w:szCs w:val="24"/>
        </w:rPr>
        <w:t xml:space="preserve"> issues regarding the government dismissal authority and </w:t>
      </w:r>
      <w:r w:rsidR="00AC7378" w:rsidRPr="00036809">
        <w:rPr>
          <w:rFonts w:ascii="Times New Roman" w:hAnsi="Times New Roman" w:cs="Times New Roman"/>
          <w:color w:val="000000" w:themeColor="text1"/>
          <w:sz w:val="24"/>
          <w:szCs w:val="24"/>
        </w:rPr>
        <w:t>third-party</w:t>
      </w:r>
      <w:r w:rsidR="00036809" w:rsidRPr="00036809">
        <w:rPr>
          <w:rFonts w:ascii="Times New Roman" w:hAnsi="Times New Roman" w:cs="Times New Roman"/>
          <w:color w:val="000000" w:themeColor="text1"/>
          <w:sz w:val="24"/>
          <w:szCs w:val="24"/>
        </w:rPr>
        <w:t xml:space="preserve"> litigation funding. Thank you to all who helped make 2020 a successful year, and we’re looking forward to seeing what 2021 has in store. </w:t>
      </w:r>
    </w:p>
    <w:p w14:paraId="115C7B71" w14:textId="2A8C6E4D" w:rsidR="00B01382" w:rsidRPr="00394636" w:rsidRDefault="00B01382" w:rsidP="00394636">
      <w:pPr>
        <w:pStyle w:val="Heading1"/>
        <w:numPr>
          <w:ilvl w:val="0"/>
          <w:numId w:val="1"/>
        </w:numPr>
        <w:spacing w:line="480" w:lineRule="auto"/>
        <w:rPr>
          <w:rFonts w:ascii="Times New Roman" w:hAnsi="Times New Roman" w:cs="Times New Roman"/>
          <w:i/>
        </w:rPr>
      </w:pPr>
      <w:r w:rsidRPr="001261E1">
        <w:rPr>
          <w:rFonts w:ascii="Times New Roman" w:hAnsi="Times New Roman" w:cs="Times New Roman"/>
        </w:rPr>
        <w:lastRenderedPageBreak/>
        <w:t>Liability</w:t>
      </w:r>
    </w:p>
    <w:p w14:paraId="0B691C80" w14:textId="25382CA0" w:rsidR="00B01382" w:rsidRPr="00394636" w:rsidRDefault="00B01382" w:rsidP="00394636">
      <w:pPr>
        <w:pStyle w:val="Heading2"/>
        <w:numPr>
          <w:ilvl w:val="0"/>
          <w:numId w:val="3"/>
        </w:numPr>
        <w:spacing w:line="480" w:lineRule="auto"/>
        <w:rPr>
          <w:rFonts w:ascii="Times New Roman" w:hAnsi="Times New Roman" w:cs="Times New Roman"/>
          <w:b/>
        </w:rPr>
      </w:pPr>
      <w:r w:rsidRPr="00394636">
        <w:rPr>
          <w:rFonts w:ascii="Times New Roman" w:hAnsi="Times New Roman" w:cs="Times New Roman"/>
          <w:b/>
        </w:rPr>
        <w:t>Falsity</w:t>
      </w:r>
    </w:p>
    <w:p w14:paraId="24CA5CB6" w14:textId="2419454C" w:rsidR="00B01382" w:rsidRDefault="00F63BCE" w:rsidP="001261E1">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B01382">
        <w:rPr>
          <w:rFonts w:ascii="Times New Roman" w:eastAsia="Times New Roman" w:hAnsi="Times New Roman" w:cs="Times New Roman"/>
          <w:i/>
          <w:sz w:val="24"/>
          <w:szCs w:val="24"/>
        </w:rPr>
        <w:t>United States</w:t>
      </w:r>
      <w:r>
        <w:rPr>
          <w:rFonts w:ascii="Times New Roman" w:eastAsia="Times New Roman" w:hAnsi="Times New Roman" w:cs="Times New Roman"/>
          <w:i/>
          <w:sz w:val="24"/>
          <w:szCs w:val="24"/>
        </w:rPr>
        <w:t xml:space="preserve"> ex rel. Paradies</w:t>
      </w:r>
      <w:r w:rsidR="00B01382">
        <w:rPr>
          <w:rFonts w:ascii="Times New Roman" w:eastAsia="Times New Roman" w:hAnsi="Times New Roman" w:cs="Times New Roman"/>
          <w:i/>
          <w:sz w:val="24"/>
          <w:szCs w:val="24"/>
        </w:rPr>
        <w:t xml:space="preserve"> v. AseraCare</w:t>
      </w:r>
      <w:r>
        <w:rPr>
          <w:rFonts w:ascii="Times New Roman" w:eastAsia="Times New Roman" w:hAnsi="Times New Roman" w:cs="Times New Roman"/>
          <w:i/>
          <w:sz w:val="24"/>
          <w:szCs w:val="24"/>
        </w:rPr>
        <w:t>, Inc.</w:t>
      </w:r>
      <w:r w:rsidR="00AC7378">
        <w:rPr>
          <w:rFonts w:ascii="Times New Roman" w:eastAsia="Times New Roman" w:hAnsi="Times New Roman" w:cs="Times New Roman"/>
          <w:sz w:val="24"/>
          <w:szCs w:val="24"/>
        </w:rPr>
        <w:t>,</w:t>
      </w:r>
      <w:r w:rsidR="00B01382" w:rsidRPr="001261E1">
        <w:rPr>
          <w:rFonts w:ascii="Times New Roman" w:eastAsia="Times New Roman" w:hAnsi="Times New Roman" w:cs="Times New Roman"/>
          <w:sz w:val="24"/>
          <w:szCs w:val="24"/>
          <w:vertAlign w:val="superscript"/>
        </w:rPr>
        <w:footnoteReference w:id="10"/>
      </w:r>
      <w:r w:rsidR="00B013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Eleventh Circuit affirmed in part and vacated in part the district court’s holding overturning a jury verdict in favor of the plaintiffs</w:t>
      </w:r>
      <w:r w:rsidR="000C1C4A">
        <w:rPr>
          <w:rFonts w:ascii="Times New Roman" w:eastAsia="Times New Roman" w:hAnsi="Times New Roman" w:cs="Times New Roman"/>
          <w:sz w:val="24"/>
          <w:szCs w:val="24"/>
        </w:rPr>
        <w:t xml:space="preserve">. </w:t>
      </w:r>
      <w:r w:rsidR="005F10E4">
        <w:rPr>
          <w:rFonts w:ascii="Times New Roman" w:eastAsia="Times New Roman" w:hAnsi="Times New Roman" w:cs="Times New Roman"/>
          <w:sz w:val="24"/>
          <w:szCs w:val="24"/>
        </w:rPr>
        <w:t>The plaintiffs alleged that</w:t>
      </w:r>
      <w:r w:rsidR="00B01382">
        <w:rPr>
          <w:rFonts w:ascii="Times New Roman" w:eastAsia="Times New Roman" w:hAnsi="Times New Roman" w:cs="Times New Roman"/>
          <w:sz w:val="24"/>
          <w:szCs w:val="24"/>
        </w:rPr>
        <w:t xml:space="preserve"> AseraCare violated the </w:t>
      </w:r>
      <w:r w:rsidR="005F10E4">
        <w:rPr>
          <w:rFonts w:ascii="Times New Roman" w:eastAsia="Times New Roman" w:hAnsi="Times New Roman" w:cs="Times New Roman"/>
          <w:sz w:val="24"/>
          <w:szCs w:val="24"/>
        </w:rPr>
        <w:t>FCA</w:t>
      </w:r>
      <w:r w:rsidR="00B01382">
        <w:rPr>
          <w:rFonts w:ascii="Times New Roman" w:eastAsia="Times New Roman" w:hAnsi="Times New Roman" w:cs="Times New Roman"/>
          <w:sz w:val="24"/>
          <w:szCs w:val="24"/>
        </w:rPr>
        <w:t xml:space="preserve"> by submitting claims to Medicare for hospice care for patients that </w:t>
      </w:r>
      <w:r w:rsidR="005F10E4">
        <w:rPr>
          <w:rFonts w:ascii="Times New Roman" w:eastAsia="Times New Roman" w:hAnsi="Times New Roman" w:cs="Times New Roman"/>
          <w:sz w:val="24"/>
          <w:szCs w:val="24"/>
        </w:rPr>
        <w:t>were not eligible for hospice because they did not have a prognosis of six months or less to live.  The plaintiffs relied on expert testimony to prove that the claims were false and that hospice case was not warranted by certain patients’ medical records.  The jury agreed, and returned a verdict in favor of the plaintiffs, but the district court overturned that verdict, finding that the plaintiffs were required to show that there was an objective falsehood and that a difference in expert opinion could not serve as the basis for proving falsity.</w:t>
      </w:r>
      <w:r w:rsidR="00D4767B">
        <w:rPr>
          <w:rFonts w:ascii="Times New Roman" w:eastAsia="Times New Roman" w:hAnsi="Times New Roman" w:cs="Times New Roman"/>
          <w:sz w:val="24"/>
          <w:szCs w:val="24"/>
        </w:rPr>
        <w:t xml:space="preserve">  </w:t>
      </w:r>
      <w:r w:rsidR="009164A0">
        <w:rPr>
          <w:rFonts w:ascii="Times New Roman" w:eastAsia="Times New Roman" w:hAnsi="Times New Roman" w:cs="Times New Roman"/>
          <w:sz w:val="24"/>
          <w:szCs w:val="24"/>
        </w:rPr>
        <w:t>The court e</w:t>
      </w:r>
      <w:r w:rsidR="00F83E55">
        <w:rPr>
          <w:rFonts w:ascii="Times New Roman" w:eastAsia="Times New Roman" w:hAnsi="Times New Roman" w:cs="Times New Roman"/>
          <w:sz w:val="24"/>
          <w:szCs w:val="24"/>
        </w:rPr>
        <w:t>xplained that</w:t>
      </w:r>
      <w:r w:rsidR="00B01382">
        <w:rPr>
          <w:rFonts w:ascii="Times New Roman" w:eastAsia="Times New Roman" w:hAnsi="Times New Roman" w:cs="Times New Roman"/>
          <w:sz w:val="24"/>
          <w:szCs w:val="24"/>
        </w:rPr>
        <w:t xml:space="preserve"> clinical judgements regarding hospice eligibility “cannot be ‘false’—and thus cannot trigger FCA liability—if the underlying clinical judgment does not reflect an objective falsehood.”</w:t>
      </w:r>
      <w:r w:rsidR="00B01382">
        <w:rPr>
          <w:rFonts w:ascii="Times New Roman" w:eastAsia="Times New Roman" w:hAnsi="Times New Roman" w:cs="Times New Roman"/>
          <w:sz w:val="24"/>
          <w:szCs w:val="24"/>
          <w:vertAlign w:val="superscript"/>
        </w:rPr>
        <w:footnoteReference w:id="11"/>
      </w:r>
      <w:r w:rsidR="00B01382">
        <w:rPr>
          <w:rFonts w:ascii="Times New Roman" w:eastAsia="Times New Roman" w:hAnsi="Times New Roman" w:cs="Times New Roman"/>
          <w:sz w:val="24"/>
          <w:szCs w:val="24"/>
        </w:rPr>
        <w:t xml:space="preserve"> </w:t>
      </w:r>
      <w:r w:rsidR="00F83E55">
        <w:rPr>
          <w:rFonts w:ascii="Times New Roman" w:eastAsia="Times New Roman" w:hAnsi="Times New Roman" w:cs="Times New Roman"/>
          <w:sz w:val="24"/>
          <w:szCs w:val="24"/>
        </w:rPr>
        <w:t xml:space="preserve"> The court remanded to the district court ordering a new trial with jury instructions that clearly </w:t>
      </w:r>
      <w:r w:rsidR="00F83E55" w:rsidRPr="00F83E55">
        <w:rPr>
          <w:rFonts w:ascii="Times New Roman" w:eastAsia="Times New Roman" w:hAnsi="Times New Roman" w:cs="Times New Roman"/>
          <w:sz w:val="24"/>
          <w:szCs w:val="24"/>
        </w:rPr>
        <w:t>convey</w:t>
      </w:r>
      <w:r w:rsidR="00F83E55">
        <w:rPr>
          <w:rFonts w:ascii="Times New Roman" w:eastAsia="Times New Roman" w:hAnsi="Times New Roman" w:cs="Times New Roman"/>
          <w:sz w:val="24"/>
          <w:szCs w:val="24"/>
        </w:rPr>
        <w:t>ed</w:t>
      </w:r>
      <w:r w:rsidR="00F83E55" w:rsidRPr="00F83E55">
        <w:rPr>
          <w:rFonts w:ascii="Times New Roman" w:eastAsia="Times New Roman" w:hAnsi="Times New Roman" w:cs="Times New Roman"/>
          <w:sz w:val="24"/>
          <w:szCs w:val="24"/>
        </w:rPr>
        <w:t xml:space="preserve"> that </w:t>
      </w:r>
      <w:r w:rsidR="00F83E55">
        <w:rPr>
          <w:rFonts w:ascii="Times New Roman" w:eastAsia="Times New Roman" w:hAnsi="Times New Roman" w:cs="Times New Roman"/>
          <w:sz w:val="24"/>
          <w:szCs w:val="24"/>
        </w:rPr>
        <w:t>“</w:t>
      </w:r>
      <w:r w:rsidR="00F83E55" w:rsidRPr="00F83E55">
        <w:rPr>
          <w:rFonts w:ascii="Times New Roman" w:eastAsia="Times New Roman" w:hAnsi="Times New Roman" w:cs="Times New Roman"/>
          <w:sz w:val="24"/>
          <w:szCs w:val="24"/>
        </w:rPr>
        <w:t>the mere difference of reasonable opinion between physicians, without more, as to the prognosis for a patient seeking hospice benefits does not constitute an objective falsehood.</w:t>
      </w:r>
      <w:r w:rsidR="00F83E55">
        <w:rPr>
          <w:rFonts w:ascii="Times New Roman" w:eastAsia="Times New Roman" w:hAnsi="Times New Roman" w:cs="Times New Roman"/>
          <w:sz w:val="24"/>
          <w:szCs w:val="24"/>
        </w:rPr>
        <w:t>”</w:t>
      </w:r>
    </w:p>
    <w:p w14:paraId="548168FC" w14:textId="0D5E255A" w:rsidR="00B01382" w:rsidRDefault="00B01382" w:rsidP="00D4767B">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year, the </w:t>
      </w:r>
      <w:r w:rsidR="00F83E55">
        <w:rPr>
          <w:rFonts w:ascii="Times New Roman" w:eastAsia="Times New Roman" w:hAnsi="Times New Roman" w:cs="Times New Roman"/>
          <w:sz w:val="24"/>
          <w:szCs w:val="24"/>
        </w:rPr>
        <w:t>Third</w:t>
      </w:r>
      <w:r>
        <w:rPr>
          <w:rFonts w:ascii="Times New Roman" w:eastAsia="Times New Roman" w:hAnsi="Times New Roman" w:cs="Times New Roman"/>
          <w:sz w:val="24"/>
          <w:szCs w:val="24"/>
        </w:rPr>
        <w:t xml:space="preserve"> and </w:t>
      </w:r>
      <w:r w:rsidR="00F83E55">
        <w:rPr>
          <w:rFonts w:ascii="Times New Roman" w:eastAsia="Times New Roman" w:hAnsi="Times New Roman" w:cs="Times New Roman"/>
          <w:sz w:val="24"/>
          <w:szCs w:val="24"/>
        </w:rPr>
        <w:t xml:space="preserve">Ninth </w:t>
      </w:r>
      <w:r>
        <w:rPr>
          <w:rFonts w:ascii="Times New Roman" w:eastAsia="Times New Roman" w:hAnsi="Times New Roman" w:cs="Times New Roman"/>
          <w:sz w:val="24"/>
          <w:szCs w:val="24"/>
        </w:rPr>
        <w:t xml:space="preserve">Circuit released opinions relating to falsity and this standard of “objective falsehood” in </w:t>
      </w:r>
      <w:r>
        <w:rPr>
          <w:rFonts w:ascii="Times New Roman" w:eastAsia="Times New Roman" w:hAnsi="Times New Roman" w:cs="Times New Roman"/>
          <w:i/>
          <w:sz w:val="24"/>
          <w:szCs w:val="24"/>
        </w:rPr>
        <w:t>United States ex. rel. Druding v. Care Alternatives</w:t>
      </w:r>
      <w:r w:rsidRPr="00B367DA">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United </w:t>
      </w:r>
      <w:r>
        <w:rPr>
          <w:rFonts w:ascii="Times New Roman" w:eastAsia="Times New Roman" w:hAnsi="Times New Roman" w:cs="Times New Roman"/>
          <w:i/>
          <w:sz w:val="24"/>
          <w:szCs w:val="24"/>
        </w:rPr>
        <w:lastRenderedPageBreak/>
        <w:t>States ex. rel. Winter v. Gardens Regional Hospital and Medical Center, Inc</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Druding</w:t>
      </w:r>
      <w:r>
        <w:rPr>
          <w:rFonts w:ascii="Times New Roman" w:eastAsia="Times New Roman" w:hAnsi="Times New Roman" w:cs="Times New Roman"/>
          <w:sz w:val="24"/>
          <w:szCs w:val="24"/>
        </w:rPr>
        <w:t xml:space="preserve">, the </w:t>
      </w:r>
      <w:r w:rsidR="00F83E55">
        <w:rPr>
          <w:rFonts w:ascii="Times New Roman" w:eastAsia="Times New Roman" w:hAnsi="Times New Roman" w:cs="Times New Roman"/>
          <w:sz w:val="24"/>
          <w:szCs w:val="24"/>
        </w:rPr>
        <w:t xml:space="preserve">Third </w:t>
      </w:r>
      <w:r>
        <w:rPr>
          <w:rFonts w:ascii="Times New Roman" w:eastAsia="Times New Roman" w:hAnsi="Times New Roman" w:cs="Times New Roman"/>
          <w:sz w:val="24"/>
          <w:szCs w:val="24"/>
        </w:rPr>
        <w:t>Circuit consider</w:t>
      </w:r>
      <w:r w:rsidR="00F83E55">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 similar question as</w:t>
      </w:r>
      <w:r w:rsidR="00F83E55">
        <w:rPr>
          <w:rFonts w:ascii="Times New Roman" w:eastAsia="Times New Roman" w:hAnsi="Times New Roman" w:cs="Times New Roman"/>
          <w:sz w:val="24"/>
          <w:szCs w:val="24"/>
        </w:rPr>
        <w:t xml:space="preserve"> the question posed in</w:t>
      </w:r>
      <w:r>
        <w:rPr>
          <w:rFonts w:ascii="Times New Roman" w:eastAsia="Times New Roman" w:hAnsi="Times New Roman" w:cs="Times New Roman"/>
          <w:sz w:val="24"/>
          <w:szCs w:val="24"/>
        </w:rPr>
        <w:t xml:space="preserve"> </w:t>
      </w:r>
      <w:r w:rsidRPr="00A31FD4">
        <w:rPr>
          <w:rFonts w:ascii="Times New Roman" w:eastAsia="Times New Roman" w:hAnsi="Times New Roman" w:cs="Times New Roman"/>
          <w:i/>
          <w:sz w:val="24"/>
          <w:szCs w:val="24"/>
        </w:rPr>
        <w:t>AseraCare</w:t>
      </w:r>
      <w:r>
        <w:rPr>
          <w:rFonts w:ascii="Times New Roman" w:eastAsia="Times New Roman" w:hAnsi="Times New Roman" w:cs="Times New Roman"/>
          <w:sz w:val="24"/>
          <w:szCs w:val="24"/>
        </w:rPr>
        <w:t xml:space="preserve">: </w:t>
      </w:r>
      <w:r w:rsidR="00F83E55">
        <w:rPr>
          <w:rFonts w:ascii="Times New Roman" w:eastAsia="Times New Roman" w:hAnsi="Times New Roman" w:cs="Times New Roman"/>
          <w:sz w:val="24"/>
          <w:szCs w:val="24"/>
        </w:rPr>
        <w:t>what role does clinical judgment have in determining falsity?</w:t>
      </w:r>
      <w:r w:rsidR="00D476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relators</w:t>
      </w:r>
      <w:r w:rsidR="00D476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brought </w:t>
      </w:r>
      <w:r w:rsidR="00F83E55">
        <w:rPr>
          <w:rFonts w:ascii="Times New Roman" w:eastAsia="Times New Roman" w:hAnsi="Times New Roman" w:cs="Times New Roman"/>
          <w:sz w:val="24"/>
          <w:szCs w:val="24"/>
        </w:rPr>
        <w:t xml:space="preserve">a </w:t>
      </w:r>
      <w:r w:rsidRPr="001261E1">
        <w:rPr>
          <w:rFonts w:ascii="Times New Roman" w:eastAsia="Times New Roman" w:hAnsi="Times New Roman" w:cs="Times New Roman"/>
          <w:i/>
          <w:sz w:val="24"/>
          <w:szCs w:val="24"/>
        </w:rPr>
        <w:t>qui tam</w:t>
      </w:r>
      <w:r>
        <w:rPr>
          <w:rFonts w:ascii="Times New Roman" w:eastAsia="Times New Roman" w:hAnsi="Times New Roman" w:cs="Times New Roman"/>
          <w:sz w:val="24"/>
          <w:szCs w:val="24"/>
        </w:rPr>
        <w:t xml:space="preserve"> action against Care Alternatives, </w:t>
      </w:r>
      <w:r w:rsidR="00F83E55">
        <w:rPr>
          <w:rFonts w:ascii="Times New Roman" w:eastAsia="Times New Roman" w:hAnsi="Times New Roman" w:cs="Times New Roman"/>
          <w:sz w:val="24"/>
          <w:szCs w:val="24"/>
        </w:rPr>
        <w:t xml:space="preserve">alleging </w:t>
      </w:r>
      <w:r>
        <w:rPr>
          <w:rFonts w:ascii="Times New Roman" w:eastAsia="Times New Roman" w:hAnsi="Times New Roman" w:cs="Times New Roman"/>
          <w:sz w:val="24"/>
          <w:szCs w:val="24"/>
        </w:rPr>
        <w:t xml:space="preserve">that </w:t>
      </w:r>
      <w:r w:rsidR="00F83E55">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 xml:space="preserve">admitted ineligible patients for hospice care.  </w:t>
      </w:r>
      <w:r w:rsidR="00C85269">
        <w:rPr>
          <w:rFonts w:ascii="Times New Roman" w:eastAsia="Times New Roman" w:hAnsi="Times New Roman" w:cs="Times New Roman"/>
          <w:sz w:val="24"/>
          <w:szCs w:val="24"/>
        </w:rPr>
        <w:t xml:space="preserve">Like the Eleventh Circuit in </w:t>
      </w:r>
      <w:r w:rsidR="00C85269" w:rsidRPr="001261E1">
        <w:rPr>
          <w:rFonts w:ascii="Times New Roman" w:eastAsia="Times New Roman" w:hAnsi="Times New Roman" w:cs="Times New Roman"/>
          <w:i/>
          <w:sz w:val="24"/>
          <w:szCs w:val="24"/>
        </w:rPr>
        <w:t>Asera</w:t>
      </w:r>
      <w:r w:rsidR="002A113A" w:rsidRPr="001261E1">
        <w:rPr>
          <w:rFonts w:ascii="Times New Roman" w:eastAsia="Times New Roman" w:hAnsi="Times New Roman" w:cs="Times New Roman"/>
          <w:i/>
          <w:sz w:val="24"/>
          <w:szCs w:val="24"/>
        </w:rPr>
        <w:t>Care</w:t>
      </w:r>
      <w:r w:rsidR="002A113A">
        <w:rPr>
          <w:rFonts w:ascii="Times New Roman" w:eastAsia="Times New Roman" w:hAnsi="Times New Roman" w:cs="Times New Roman"/>
          <w:sz w:val="24"/>
          <w:szCs w:val="24"/>
        </w:rPr>
        <w:t>, t</w:t>
      </w:r>
      <w:r w:rsidR="00F83E55">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district court </w:t>
      </w:r>
      <w:r w:rsidR="002A113A">
        <w:rPr>
          <w:rFonts w:ascii="Times New Roman" w:eastAsia="Times New Roman" w:hAnsi="Times New Roman" w:cs="Times New Roman"/>
          <w:sz w:val="24"/>
          <w:szCs w:val="24"/>
        </w:rPr>
        <w:t>found</w:t>
      </w:r>
      <w:r>
        <w:rPr>
          <w:rFonts w:ascii="Times New Roman" w:eastAsia="Times New Roman" w:hAnsi="Times New Roman" w:cs="Times New Roman"/>
          <w:sz w:val="24"/>
          <w:szCs w:val="24"/>
        </w:rPr>
        <w:t xml:space="preserve"> that difference of </w:t>
      </w:r>
      <w:r w:rsidR="002A113A">
        <w:rPr>
          <w:rFonts w:ascii="Times New Roman" w:eastAsia="Times New Roman" w:hAnsi="Times New Roman" w:cs="Times New Roman"/>
          <w:sz w:val="24"/>
          <w:szCs w:val="24"/>
        </w:rPr>
        <w:t xml:space="preserve">medical </w:t>
      </w:r>
      <w:r>
        <w:rPr>
          <w:rFonts w:ascii="Times New Roman" w:eastAsia="Times New Roman" w:hAnsi="Times New Roman" w:cs="Times New Roman"/>
          <w:sz w:val="24"/>
          <w:szCs w:val="24"/>
        </w:rPr>
        <w:t xml:space="preserve">opinion </w:t>
      </w:r>
      <w:r w:rsidR="002A113A">
        <w:rPr>
          <w:rFonts w:ascii="Times New Roman" w:eastAsia="Times New Roman" w:hAnsi="Times New Roman" w:cs="Times New Roman"/>
          <w:sz w:val="24"/>
          <w:szCs w:val="24"/>
        </w:rPr>
        <w:t xml:space="preserve">could not </w:t>
      </w:r>
      <w:r w:rsidR="00A31FD4">
        <w:rPr>
          <w:rFonts w:ascii="Times New Roman" w:eastAsia="Times New Roman" w:hAnsi="Times New Roman" w:cs="Times New Roman"/>
          <w:sz w:val="24"/>
          <w:szCs w:val="24"/>
        </w:rPr>
        <w:t>constitute proof of falsity</w:t>
      </w:r>
      <w:r w:rsidR="002A113A">
        <w:rPr>
          <w:rFonts w:ascii="Times New Roman" w:eastAsia="Times New Roman" w:hAnsi="Times New Roman" w:cs="Times New Roman"/>
          <w:sz w:val="24"/>
          <w:szCs w:val="24"/>
        </w:rPr>
        <w:t xml:space="preserve">, and granted the defendant’s motion for </w:t>
      </w:r>
      <w:r>
        <w:rPr>
          <w:rFonts w:ascii="Times New Roman" w:eastAsia="Times New Roman" w:hAnsi="Times New Roman" w:cs="Times New Roman"/>
          <w:sz w:val="24"/>
          <w:szCs w:val="24"/>
        </w:rPr>
        <w:t>summary judgement</w:t>
      </w:r>
      <w:r w:rsidR="002A113A">
        <w:rPr>
          <w:rFonts w:ascii="Times New Roman" w:eastAsia="Times New Roman" w:hAnsi="Times New Roman" w:cs="Times New Roman"/>
          <w:sz w:val="24"/>
          <w:szCs w:val="24"/>
        </w:rPr>
        <w:t xml:space="preserve">, explaining that </w:t>
      </w:r>
      <w:r>
        <w:rPr>
          <w:rFonts w:ascii="Times New Roman" w:eastAsia="Times New Roman" w:hAnsi="Times New Roman" w:cs="Times New Roman"/>
          <w:sz w:val="24"/>
          <w:szCs w:val="24"/>
        </w:rPr>
        <w:t>the relators must “provide evidence of an objective falsehood.”</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w:t>
      </w:r>
      <w:r w:rsidR="002A113A">
        <w:rPr>
          <w:rFonts w:ascii="Times New Roman" w:eastAsia="Times New Roman" w:hAnsi="Times New Roman" w:cs="Times New Roman"/>
          <w:sz w:val="24"/>
          <w:szCs w:val="24"/>
        </w:rPr>
        <w:t>T</w:t>
      </w:r>
      <w:r>
        <w:rPr>
          <w:rFonts w:ascii="Times New Roman" w:eastAsia="Times New Roman" w:hAnsi="Times New Roman" w:cs="Times New Roman"/>
          <w:sz w:val="24"/>
          <w:szCs w:val="24"/>
        </w:rPr>
        <w:t>he relators appealed</w:t>
      </w:r>
      <w:r w:rsidR="00E30504">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the </w:t>
      </w:r>
      <w:r w:rsidR="00E30504">
        <w:rPr>
          <w:rFonts w:ascii="Times New Roman" w:eastAsia="Times New Roman" w:hAnsi="Times New Roman" w:cs="Times New Roman"/>
          <w:sz w:val="24"/>
          <w:szCs w:val="24"/>
        </w:rPr>
        <w:t xml:space="preserve">Third </w:t>
      </w:r>
      <w:r>
        <w:rPr>
          <w:rFonts w:ascii="Times New Roman" w:eastAsia="Times New Roman" w:hAnsi="Times New Roman" w:cs="Times New Roman"/>
          <w:sz w:val="24"/>
          <w:szCs w:val="24"/>
        </w:rPr>
        <w:t>Circuit reversed and remanded, rejecting the district court’s “objective falsehood” standard</w:t>
      </w:r>
      <w:r w:rsidR="00E30504">
        <w:rPr>
          <w:rFonts w:ascii="Times New Roman" w:eastAsia="Times New Roman" w:hAnsi="Times New Roman" w:cs="Times New Roman"/>
          <w:sz w:val="24"/>
          <w:szCs w:val="24"/>
        </w:rPr>
        <w:t xml:space="preserve">, and explaining that such a standard </w:t>
      </w:r>
      <w:r>
        <w:rPr>
          <w:rFonts w:ascii="Times New Roman" w:eastAsia="Times New Roman" w:hAnsi="Times New Roman" w:cs="Times New Roman"/>
          <w:sz w:val="24"/>
          <w:szCs w:val="24"/>
        </w:rPr>
        <w:t>conflate</w:t>
      </w:r>
      <w:r w:rsidR="00E3050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 scienter and falsity</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w:t>
      </w:r>
      <w:r w:rsidR="00AC7378">
        <w:rPr>
          <w:rFonts w:ascii="Times New Roman" w:eastAsia="Times New Roman" w:hAnsi="Times New Roman" w:cs="Times New Roman"/>
          <w:sz w:val="24"/>
          <w:szCs w:val="24"/>
        </w:rPr>
        <w:t xml:space="preserve">elements </w:t>
      </w:r>
      <w:r>
        <w:rPr>
          <w:rFonts w:ascii="Times New Roman" w:eastAsia="Times New Roman" w:hAnsi="Times New Roman" w:cs="Times New Roman"/>
          <w:sz w:val="24"/>
          <w:szCs w:val="24"/>
        </w:rPr>
        <w:t>and that the question of falsity should not be limited to “factual falsity” but expanded to “legal falsity.”</w:t>
      </w:r>
      <w:r>
        <w:rPr>
          <w:rFonts w:ascii="Times New Roman" w:eastAsia="Times New Roman" w:hAnsi="Times New Roman" w:cs="Times New Roman"/>
          <w:sz w:val="24"/>
          <w:szCs w:val="24"/>
          <w:vertAlign w:val="superscript"/>
        </w:rPr>
        <w:footnoteReference w:id="16"/>
      </w:r>
      <w:r w:rsidR="00A31FD4">
        <w:rPr>
          <w:rFonts w:ascii="Times New Roman" w:eastAsia="Times New Roman" w:hAnsi="Times New Roman" w:cs="Times New Roman"/>
          <w:sz w:val="24"/>
          <w:szCs w:val="24"/>
        </w:rPr>
        <w:t xml:space="preserve"> </w:t>
      </w:r>
      <w:r w:rsidR="00E30504">
        <w:rPr>
          <w:rFonts w:ascii="Times New Roman" w:eastAsia="Times New Roman" w:hAnsi="Times New Roman" w:cs="Times New Roman"/>
          <w:sz w:val="24"/>
          <w:szCs w:val="24"/>
        </w:rPr>
        <w:t>The court</w:t>
      </w:r>
      <w:r>
        <w:rPr>
          <w:rFonts w:ascii="Times New Roman" w:eastAsia="Times New Roman" w:hAnsi="Times New Roman" w:cs="Times New Roman"/>
          <w:sz w:val="24"/>
          <w:szCs w:val="24"/>
        </w:rPr>
        <w:t xml:space="preserve"> explicitly pushed back on the </w:t>
      </w:r>
      <w:r w:rsidR="00E30504">
        <w:rPr>
          <w:rFonts w:ascii="Times New Roman" w:eastAsia="Times New Roman" w:hAnsi="Times New Roman" w:cs="Times New Roman"/>
          <w:sz w:val="24"/>
          <w:szCs w:val="24"/>
        </w:rPr>
        <w:t xml:space="preserve">Eleventh </w:t>
      </w:r>
      <w:r>
        <w:rPr>
          <w:rFonts w:ascii="Times New Roman" w:eastAsia="Times New Roman" w:hAnsi="Times New Roman" w:cs="Times New Roman"/>
          <w:sz w:val="24"/>
          <w:szCs w:val="24"/>
        </w:rPr>
        <w:t xml:space="preserve">Circuit’s ruling in </w:t>
      </w:r>
      <w:r w:rsidRPr="00A31FD4">
        <w:rPr>
          <w:rFonts w:ascii="Times New Roman" w:eastAsia="Times New Roman" w:hAnsi="Times New Roman" w:cs="Times New Roman"/>
          <w:i/>
          <w:sz w:val="24"/>
          <w:szCs w:val="24"/>
        </w:rPr>
        <w:t>AseraCare</w:t>
      </w:r>
      <w:r>
        <w:rPr>
          <w:rFonts w:ascii="Times New Roman" w:eastAsia="Times New Roman" w:hAnsi="Times New Roman" w:cs="Times New Roman"/>
          <w:sz w:val="24"/>
          <w:szCs w:val="24"/>
        </w:rPr>
        <w:t xml:space="preserve">, </w:t>
      </w:r>
      <w:r w:rsidR="00E30504">
        <w:rPr>
          <w:rFonts w:ascii="Times New Roman" w:eastAsia="Times New Roman" w:hAnsi="Times New Roman" w:cs="Times New Roman"/>
          <w:sz w:val="24"/>
          <w:szCs w:val="24"/>
        </w:rPr>
        <w:t xml:space="preserve">determining </w:t>
      </w:r>
      <w:r>
        <w:rPr>
          <w:rFonts w:ascii="Times New Roman" w:eastAsia="Times New Roman" w:hAnsi="Times New Roman" w:cs="Times New Roman"/>
          <w:sz w:val="24"/>
          <w:szCs w:val="24"/>
        </w:rPr>
        <w:t>that “the common-law definition of fraud permits a finding that subjective opinions may be considered false and that medical opinions can be false and are not shielded from scrutiny.”</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In doing so, they conclude that this difference of clinical judgement </w:t>
      </w:r>
      <w:r w:rsidR="00E30504">
        <w:rPr>
          <w:rFonts w:ascii="Times New Roman" w:eastAsia="Times New Roman" w:hAnsi="Times New Roman" w:cs="Times New Roman"/>
          <w:sz w:val="24"/>
          <w:szCs w:val="24"/>
        </w:rPr>
        <w:t xml:space="preserve">could </w:t>
      </w:r>
      <w:r>
        <w:rPr>
          <w:rFonts w:ascii="Times New Roman" w:eastAsia="Times New Roman" w:hAnsi="Times New Roman" w:cs="Times New Roman"/>
          <w:sz w:val="24"/>
          <w:szCs w:val="24"/>
        </w:rPr>
        <w:t>“create a genuine dispute of material fact</w:t>
      </w:r>
      <w:r w:rsidR="00E3050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w:t>
      </w:r>
    </w:p>
    <w:p w14:paraId="7C8B3FFD" w14:textId="39A00FEE" w:rsidR="00B01382" w:rsidRDefault="00B01382" w:rsidP="00D4767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rejection of “objective falsity” is echoed in </w:t>
      </w:r>
      <w:r>
        <w:rPr>
          <w:rFonts w:ascii="Times New Roman" w:eastAsia="Times New Roman" w:hAnsi="Times New Roman" w:cs="Times New Roman"/>
          <w:i/>
          <w:sz w:val="24"/>
          <w:szCs w:val="24"/>
        </w:rPr>
        <w:t xml:space="preserve">United States ex. </w:t>
      </w:r>
      <w:r w:rsidR="00E30504">
        <w:rPr>
          <w:rFonts w:ascii="Times New Roman" w:eastAsia="Times New Roman" w:hAnsi="Times New Roman" w:cs="Times New Roman"/>
          <w:i/>
          <w:sz w:val="24"/>
          <w:szCs w:val="24"/>
        </w:rPr>
        <w:t>r</w:t>
      </w:r>
      <w:r>
        <w:rPr>
          <w:rFonts w:ascii="Times New Roman" w:eastAsia="Times New Roman" w:hAnsi="Times New Roman" w:cs="Times New Roman"/>
          <w:i/>
          <w:sz w:val="24"/>
          <w:szCs w:val="24"/>
        </w:rPr>
        <w:t>el. Winter v. Gardens Regional Hospital and Medical Center, Inc</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In this case, the relator brought </w:t>
      </w:r>
      <w:r w:rsidRPr="001261E1">
        <w:rPr>
          <w:rFonts w:ascii="Times New Roman" w:eastAsia="Times New Roman" w:hAnsi="Times New Roman" w:cs="Times New Roman"/>
          <w:i/>
          <w:sz w:val="24"/>
          <w:szCs w:val="24"/>
        </w:rPr>
        <w:t>qui tam</w:t>
      </w:r>
      <w:r>
        <w:rPr>
          <w:rFonts w:ascii="Times New Roman" w:eastAsia="Times New Roman" w:hAnsi="Times New Roman" w:cs="Times New Roman"/>
          <w:sz w:val="24"/>
          <w:szCs w:val="24"/>
        </w:rPr>
        <w:t xml:space="preserve"> action against the hospital, claiming that </w:t>
      </w:r>
      <w:r w:rsidR="00B74C69">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 xml:space="preserve">submitted false claims to Medicare </w:t>
      </w:r>
      <w:r w:rsidR="00B74C69">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medically unnecessary</w:t>
      </w:r>
      <w:r w:rsidR="00B74C69">
        <w:rPr>
          <w:rFonts w:ascii="Times New Roman" w:eastAsia="Times New Roman" w:hAnsi="Times New Roman" w:cs="Times New Roman"/>
          <w:sz w:val="24"/>
          <w:szCs w:val="24"/>
        </w:rPr>
        <w:t xml:space="preserve"> services</w:t>
      </w:r>
      <w:r>
        <w:rPr>
          <w:rFonts w:ascii="Times New Roman" w:eastAsia="Times New Roman" w:hAnsi="Times New Roman" w:cs="Times New Roman"/>
          <w:sz w:val="24"/>
          <w:szCs w:val="24"/>
        </w:rPr>
        <w:t>.</w:t>
      </w:r>
      <w:r w:rsidR="0081456E">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he district court </w:t>
      </w:r>
      <w:r w:rsidR="0081456E">
        <w:rPr>
          <w:rFonts w:ascii="Times New Roman" w:eastAsia="Times New Roman" w:hAnsi="Times New Roman" w:cs="Times New Roman"/>
          <w:sz w:val="24"/>
          <w:szCs w:val="24"/>
        </w:rPr>
        <w:t>granted the defendant’s motion to dismiss and the</w:t>
      </w:r>
      <w:r>
        <w:rPr>
          <w:rFonts w:ascii="Times New Roman" w:eastAsia="Times New Roman" w:hAnsi="Times New Roman" w:cs="Times New Roman"/>
          <w:sz w:val="24"/>
          <w:szCs w:val="24"/>
        </w:rPr>
        <w:t xml:space="preserve"> relator appealed to the </w:t>
      </w:r>
      <w:r w:rsidR="0081456E">
        <w:rPr>
          <w:rFonts w:ascii="Times New Roman" w:eastAsia="Times New Roman" w:hAnsi="Times New Roman" w:cs="Times New Roman"/>
          <w:sz w:val="24"/>
          <w:szCs w:val="24"/>
        </w:rPr>
        <w:t xml:space="preserve">Ninth </w:t>
      </w:r>
      <w:r>
        <w:rPr>
          <w:rFonts w:ascii="Times New Roman" w:eastAsia="Times New Roman" w:hAnsi="Times New Roman" w:cs="Times New Roman"/>
          <w:sz w:val="24"/>
          <w:szCs w:val="24"/>
        </w:rPr>
        <w:t xml:space="preserve">Circuit. </w:t>
      </w:r>
      <w:r w:rsidR="0081456E">
        <w:rPr>
          <w:rFonts w:ascii="Times New Roman" w:eastAsia="Times New Roman" w:hAnsi="Times New Roman" w:cs="Times New Roman"/>
          <w:sz w:val="24"/>
          <w:szCs w:val="24"/>
        </w:rPr>
        <w:t xml:space="preserve">The circuit court explained that </w:t>
      </w:r>
      <w:r>
        <w:rPr>
          <w:rFonts w:ascii="Times New Roman" w:eastAsia="Times New Roman" w:hAnsi="Times New Roman" w:cs="Times New Roman"/>
          <w:sz w:val="24"/>
          <w:szCs w:val="24"/>
        </w:rPr>
        <w:t>“a doctor</w:t>
      </w:r>
      <w:r w:rsidR="008145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Medicare certification </w:t>
      </w:r>
      <w:r>
        <w:rPr>
          <w:rFonts w:ascii="Times New Roman" w:eastAsia="Times New Roman" w:hAnsi="Times New Roman" w:cs="Times New Roman"/>
          <w:sz w:val="24"/>
          <w:szCs w:val="24"/>
        </w:rPr>
        <w:lastRenderedPageBreak/>
        <w:t>that inpatient hospitalization is medically necessary can be false or fraudulent, within the meaning of the FCA.”</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t>
      </w:r>
      <w:r w:rsidR="0081456E">
        <w:rPr>
          <w:rFonts w:ascii="Times New Roman" w:eastAsia="Times New Roman" w:hAnsi="Times New Roman" w:cs="Times New Roman"/>
          <w:sz w:val="24"/>
          <w:szCs w:val="24"/>
        </w:rPr>
        <w:t>The circuit court observed that</w:t>
      </w:r>
      <w:r>
        <w:rPr>
          <w:rFonts w:ascii="Times New Roman" w:eastAsia="Times New Roman" w:hAnsi="Times New Roman" w:cs="Times New Roman"/>
          <w:sz w:val="24"/>
          <w:szCs w:val="24"/>
        </w:rPr>
        <w:t xml:space="preserve"> the district court misguidedly relied on a standard of “objective falsity,” when in fact “Congress imposed no</w:t>
      </w:r>
      <w:r w:rsidR="00A31FD4">
        <w:rPr>
          <w:rFonts w:ascii="Times New Roman" w:eastAsia="Times New Roman" w:hAnsi="Times New Roman" w:cs="Times New Roman"/>
          <w:sz w:val="24"/>
          <w:szCs w:val="24"/>
        </w:rPr>
        <w:t xml:space="preserve"> requirement of proving ‘objective falsity,’</w:t>
      </w:r>
      <w:r>
        <w:rPr>
          <w:rFonts w:ascii="Times New Roman" w:eastAsia="Times New Roman" w:hAnsi="Times New Roman" w:cs="Times New Roman"/>
          <w:sz w:val="24"/>
          <w:szCs w:val="24"/>
        </w:rPr>
        <w:t xml:space="preserve"> and we have no authority to rewrite the statute to add such a requirement.”</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The court note</w:t>
      </w:r>
      <w:r w:rsidR="00DD4BFB">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that </w:t>
      </w:r>
      <w:r w:rsidR="00DD4BFB">
        <w:rPr>
          <w:rFonts w:ascii="Times New Roman" w:eastAsia="Times New Roman" w:hAnsi="Times New Roman" w:cs="Times New Roman"/>
          <w:sz w:val="24"/>
          <w:szCs w:val="24"/>
        </w:rPr>
        <w:t xml:space="preserve">its </w:t>
      </w:r>
      <w:r>
        <w:rPr>
          <w:rFonts w:ascii="Times New Roman" w:eastAsia="Times New Roman" w:hAnsi="Times New Roman" w:cs="Times New Roman"/>
          <w:sz w:val="24"/>
          <w:szCs w:val="24"/>
        </w:rPr>
        <w:t xml:space="preserve">decision </w:t>
      </w:r>
      <w:r w:rsidR="00DD4BFB">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not directly at odds with the </w:t>
      </w:r>
      <w:r w:rsidR="001662B4">
        <w:rPr>
          <w:rFonts w:ascii="Times New Roman" w:eastAsia="Times New Roman" w:hAnsi="Times New Roman" w:cs="Times New Roman"/>
          <w:sz w:val="24"/>
          <w:szCs w:val="24"/>
        </w:rPr>
        <w:t xml:space="preserve">Eleventh </w:t>
      </w:r>
      <w:r>
        <w:rPr>
          <w:rFonts w:ascii="Times New Roman" w:eastAsia="Times New Roman" w:hAnsi="Times New Roman" w:cs="Times New Roman"/>
          <w:sz w:val="24"/>
          <w:szCs w:val="24"/>
        </w:rPr>
        <w:t xml:space="preserve">Circuit’s ruling in </w:t>
      </w:r>
      <w:r w:rsidRPr="00A31FD4">
        <w:rPr>
          <w:rFonts w:ascii="Times New Roman" w:eastAsia="Times New Roman" w:hAnsi="Times New Roman" w:cs="Times New Roman"/>
          <w:i/>
          <w:sz w:val="24"/>
          <w:szCs w:val="24"/>
        </w:rPr>
        <w:t>AseraCare</w:t>
      </w:r>
      <w:r>
        <w:rPr>
          <w:rFonts w:ascii="Times New Roman" w:eastAsia="Times New Roman" w:hAnsi="Times New Roman" w:cs="Times New Roman"/>
          <w:sz w:val="24"/>
          <w:szCs w:val="24"/>
        </w:rPr>
        <w:t xml:space="preserve">, </w:t>
      </w:r>
      <w:r w:rsidR="001662B4">
        <w:rPr>
          <w:rFonts w:ascii="Times New Roman" w:eastAsia="Times New Roman" w:hAnsi="Times New Roman" w:cs="Times New Roman"/>
          <w:sz w:val="24"/>
          <w:szCs w:val="24"/>
        </w:rPr>
        <w:t>explaining that Eleventh</w:t>
      </w:r>
      <w:r>
        <w:rPr>
          <w:rFonts w:ascii="Times New Roman" w:eastAsia="Times New Roman" w:hAnsi="Times New Roman" w:cs="Times New Roman"/>
          <w:sz w:val="24"/>
          <w:szCs w:val="24"/>
        </w:rPr>
        <w:t xml:space="preserve"> Circuit’s understanding of the “‘objective falsehood’ requirement did not necessarily apply to a physician’s certification of medical necessity.”</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t>
      </w:r>
    </w:p>
    <w:p w14:paraId="62DB38C1" w14:textId="297CD98F" w:rsidR="00B01382" w:rsidRDefault="00B01382" w:rsidP="00D4767B">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 </w:t>
      </w:r>
      <w:r w:rsidR="001662B4">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the heels of </w:t>
      </w:r>
      <w:r w:rsidRPr="00A31FD4">
        <w:rPr>
          <w:rFonts w:ascii="Times New Roman" w:eastAsia="Times New Roman" w:hAnsi="Times New Roman" w:cs="Times New Roman"/>
          <w:i/>
          <w:sz w:val="24"/>
          <w:szCs w:val="24"/>
        </w:rPr>
        <w:t>AseraCare</w:t>
      </w:r>
      <w:r>
        <w:rPr>
          <w:rFonts w:ascii="Times New Roman" w:eastAsia="Times New Roman" w:hAnsi="Times New Roman" w:cs="Times New Roman"/>
          <w:sz w:val="24"/>
          <w:szCs w:val="24"/>
        </w:rPr>
        <w:t xml:space="preserve"> came two reasonably favorable decisions for </w:t>
      </w:r>
      <w:r w:rsidR="001662B4">
        <w:rPr>
          <w:rFonts w:ascii="Times New Roman" w:eastAsia="Times New Roman" w:hAnsi="Times New Roman" w:cs="Times New Roman"/>
          <w:sz w:val="24"/>
          <w:szCs w:val="24"/>
        </w:rPr>
        <w:t xml:space="preserve">FCA plaintiffs </w:t>
      </w:r>
      <w:r>
        <w:rPr>
          <w:rFonts w:ascii="Times New Roman" w:eastAsia="Times New Roman" w:hAnsi="Times New Roman" w:cs="Times New Roman"/>
          <w:sz w:val="24"/>
          <w:szCs w:val="24"/>
        </w:rPr>
        <w:t>regarding falsity. We will continue to track developments of the courts</w:t>
      </w:r>
      <w:r w:rsidR="00174A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interpretation of “objective falsehood” in the coming months. </w:t>
      </w:r>
    </w:p>
    <w:p w14:paraId="336707F5" w14:textId="49E6B6CC" w:rsidR="00B01382" w:rsidRPr="00394636" w:rsidRDefault="00B01382" w:rsidP="00394636">
      <w:pPr>
        <w:pStyle w:val="Heading2"/>
        <w:numPr>
          <w:ilvl w:val="0"/>
          <w:numId w:val="3"/>
        </w:numPr>
        <w:spacing w:line="480" w:lineRule="auto"/>
        <w:rPr>
          <w:rFonts w:ascii="Times New Roman" w:hAnsi="Times New Roman" w:cs="Times New Roman"/>
          <w:b/>
          <w:color w:val="000000" w:themeColor="text1"/>
        </w:rPr>
      </w:pPr>
      <w:r w:rsidRPr="00394636">
        <w:rPr>
          <w:rFonts w:ascii="Times New Roman" w:hAnsi="Times New Roman" w:cs="Times New Roman"/>
          <w:b/>
          <w:color w:val="000000" w:themeColor="text1"/>
        </w:rPr>
        <w:t>Anti-Kickback Statute</w:t>
      </w:r>
    </w:p>
    <w:p w14:paraId="78932DB2" w14:textId="45E78F93" w:rsidR="00B01382" w:rsidRPr="00184490" w:rsidRDefault="001662B4" w:rsidP="00D4767B">
      <w:pPr>
        <w:spacing w:line="480" w:lineRule="auto"/>
        <w:ind w:firstLine="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There were a few notable cases involving the </w:t>
      </w:r>
      <w:r w:rsidR="00174A64">
        <w:rPr>
          <w:rFonts w:ascii="Times New Roman" w:eastAsia="Times New Roman" w:hAnsi="Times New Roman" w:cs="Times New Roman"/>
          <w:color w:val="000000" w:themeColor="text1"/>
          <w:sz w:val="24"/>
          <w:szCs w:val="24"/>
        </w:rPr>
        <w:t xml:space="preserve">federal </w:t>
      </w:r>
      <w:r>
        <w:rPr>
          <w:rFonts w:ascii="Times New Roman" w:eastAsia="Times New Roman" w:hAnsi="Times New Roman" w:cs="Times New Roman"/>
          <w:color w:val="000000" w:themeColor="text1"/>
          <w:sz w:val="24"/>
          <w:szCs w:val="24"/>
        </w:rPr>
        <w:t xml:space="preserve">Anti-Kickback Statute in </w:t>
      </w:r>
      <w:r w:rsidR="00B01382" w:rsidRPr="00184490">
        <w:rPr>
          <w:rFonts w:ascii="Times New Roman" w:eastAsia="Times New Roman" w:hAnsi="Times New Roman" w:cs="Times New Roman"/>
          <w:color w:val="000000" w:themeColor="text1"/>
          <w:sz w:val="24"/>
          <w:szCs w:val="24"/>
        </w:rPr>
        <w:t>2020</w:t>
      </w:r>
      <w:r>
        <w:rPr>
          <w:rFonts w:ascii="Times New Roman" w:eastAsia="Times New Roman" w:hAnsi="Times New Roman" w:cs="Times New Roman"/>
          <w:color w:val="000000" w:themeColor="text1"/>
          <w:sz w:val="24"/>
          <w:szCs w:val="24"/>
        </w:rPr>
        <w:t xml:space="preserve">, including </w:t>
      </w:r>
      <w:r w:rsidR="00B01382" w:rsidRPr="00184490">
        <w:rPr>
          <w:rFonts w:ascii="Times New Roman" w:eastAsia="Times New Roman" w:hAnsi="Times New Roman" w:cs="Times New Roman"/>
          <w:i/>
          <w:color w:val="000000" w:themeColor="text1"/>
          <w:sz w:val="24"/>
          <w:szCs w:val="24"/>
        </w:rPr>
        <w:t>United States ex</w:t>
      </w:r>
      <w:r w:rsidR="00A31FD4">
        <w:rPr>
          <w:rFonts w:ascii="Times New Roman" w:eastAsia="Times New Roman" w:hAnsi="Times New Roman" w:cs="Times New Roman"/>
          <w:i/>
          <w:color w:val="000000" w:themeColor="text1"/>
          <w:sz w:val="24"/>
          <w:szCs w:val="24"/>
        </w:rPr>
        <w:t>.</w:t>
      </w:r>
      <w:r w:rsidR="00B01382" w:rsidRPr="00184490">
        <w:rPr>
          <w:rFonts w:ascii="Times New Roman" w:eastAsia="Times New Roman" w:hAnsi="Times New Roman" w:cs="Times New Roman"/>
          <w:i/>
          <w:color w:val="000000" w:themeColor="text1"/>
          <w:sz w:val="24"/>
          <w:szCs w:val="24"/>
        </w:rPr>
        <w:t xml:space="preserve"> rel</w:t>
      </w:r>
      <w:r w:rsidR="00A31FD4">
        <w:rPr>
          <w:rFonts w:ascii="Times New Roman" w:eastAsia="Times New Roman" w:hAnsi="Times New Roman" w:cs="Times New Roman"/>
          <w:i/>
          <w:color w:val="000000" w:themeColor="text1"/>
          <w:sz w:val="24"/>
          <w:szCs w:val="24"/>
        </w:rPr>
        <w:t>.</w:t>
      </w:r>
      <w:r w:rsidR="00B01382" w:rsidRPr="00184490">
        <w:rPr>
          <w:rFonts w:ascii="Times New Roman" w:eastAsia="Times New Roman" w:hAnsi="Times New Roman" w:cs="Times New Roman"/>
          <w:i/>
          <w:color w:val="000000" w:themeColor="text1"/>
          <w:sz w:val="24"/>
          <w:szCs w:val="24"/>
        </w:rPr>
        <w:t xml:space="preserve"> Benaissa v</w:t>
      </w:r>
      <w:r w:rsidR="00A31FD4">
        <w:rPr>
          <w:rFonts w:ascii="Times New Roman" w:eastAsia="Times New Roman" w:hAnsi="Times New Roman" w:cs="Times New Roman"/>
          <w:i/>
          <w:color w:val="000000" w:themeColor="text1"/>
          <w:sz w:val="24"/>
          <w:szCs w:val="24"/>
        </w:rPr>
        <w:t>.</w:t>
      </w:r>
      <w:r w:rsidR="00B01382" w:rsidRPr="00184490">
        <w:rPr>
          <w:rFonts w:ascii="Times New Roman" w:eastAsia="Times New Roman" w:hAnsi="Times New Roman" w:cs="Times New Roman"/>
          <w:i/>
          <w:color w:val="000000" w:themeColor="text1"/>
          <w:sz w:val="24"/>
          <w:szCs w:val="24"/>
        </w:rPr>
        <w:t xml:space="preserve"> Trinity Health</w:t>
      </w:r>
      <w:r w:rsidR="00B01382" w:rsidRPr="001261E1">
        <w:rPr>
          <w:rFonts w:ascii="Times New Roman" w:eastAsia="Times New Roman" w:hAnsi="Times New Roman" w:cs="Times New Roman"/>
          <w:color w:val="000000" w:themeColor="text1"/>
          <w:sz w:val="24"/>
          <w:szCs w:val="24"/>
          <w:vertAlign w:val="superscript"/>
        </w:rPr>
        <w:footnoteReference w:id="23"/>
      </w:r>
      <w:r w:rsidR="00B01382" w:rsidRPr="00184490">
        <w:rPr>
          <w:rFonts w:ascii="Times New Roman" w:eastAsia="Times New Roman" w:hAnsi="Times New Roman" w:cs="Times New Roman"/>
          <w:color w:val="000000" w:themeColor="text1"/>
          <w:sz w:val="24"/>
          <w:szCs w:val="24"/>
        </w:rPr>
        <w:t xml:space="preserve"> in the </w:t>
      </w:r>
      <w:r>
        <w:rPr>
          <w:rFonts w:ascii="Times New Roman" w:eastAsia="Times New Roman" w:hAnsi="Times New Roman" w:cs="Times New Roman"/>
          <w:color w:val="000000" w:themeColor="text1"/>
          <w:sz w:val="24"/>
          <w:szCs w:val="24"/>
        </w:rPr>
        <w:t>Eighth</w:t>
      </w:r>
      <w:r w:rsidRPr="00184490">
        <w:rPr>
          <w:rFonts w:ascii="Times New Roman" w:eastAsia="Times New Roman" w:hAnsi="Times New Roman" w:cs="Times New Roman"/>
          <w:color w:val="000000" w:themeColor="text1"/>
          <w:sz w:val="24"/>
          <w:szCs w:val="24"/>
        </w:rPr>
        <w:t xml:space="preserve"> </w:t>
      </w:r>
      <w:r w:rsidR="00B01382" w:rsidRPr="00184490">
        <w:rPr>
          <w:rFonts w:ascii="Times New Roman" w:eastAsia="Times New Roman" w:hAnsi="Times New Roman" w:cs="Times New Roman"/>
          <w:color w:val="000000" w:themeColor="text1"/>
          <w:sz w:val="24"/>
          <w:szCs w:val="24"/>
        </w:rPr>
        <w:t xml:space="preserve">Circuit, </w:t>
      </w:r>
      <w:r w:rsidR="00B01382" w:rsidRPr="00184490">
        <w:rPr>
          <w:rFonts w:ascii="Times New Roman" w:eastAsia="Times New Roman" w:hAnsi="Times New Roman" w:cs="Times New Roman"/>
          <w:i/>
          <w:color w:val="000000" w:themeColor="text1"/>
          <w:sz w:val="24"/>
          <w:szCs w:val="24"/>
        </w:rPr>
        <w:t>Stop Illinois Health Care Fraud LLC v</w:t>
      </w:r>
      <w:r w:rsidR="00A31FD4">
        <w:rPr>
          <w:rFonts w:ascii="Times New Roman" w:eastAsia="Times New Roman" w:hAnsi="Times New Roman" w:cs="Times New Roman"/>
          <w:i/>
          <w:color w:val="000000" w:themeColor="text1"/>
          <w:sz w:val="24"/>
          <w:szCs w:val="24"/>
        </w:rPr>
        <w:t>.</w:t>
      </w:r>
      <w:r w:rsidR="00B01382" w:rsidRPr="00184490">
        <w:rPr>
          <w:rFonts w:ascii="Times New Roman" w:eastAsia="Times New Roman" w:hAnsi="Times New Roman" w:cs="Times New Roman"/>
          <w:i/>
          <w:color w:val="000000" w:themeColor="text1"/>
          <w:sz w:val="24"/>
          <w:szCs w:val="24"/>
        </w:rPr>
        <w:t xml:space="preserve"> Sayeed</w:t>
      </w:r>
      <w:r w:rsidR="00B01382" w:rsidRPr="001261E1">
        <w:rPr>
          <w:rFonts w:ascii="Times New Roman" w:eastAsia="Times New Roman" w:hAnsi="Times New Roman" w:cs="Times New Roman"/>
          <w:color w:val="000000" w:themeColor="text1"/>
          <w:sz w:val="24"/>
          <w:szCs w:val="24"/>
          <w:vertAlign w:val="superscript"/>
        </w:rPr>
        <w:footnoteReference w:id="24"/>
      </w:r>
      <w:r w:rsidR="00B01382" w:rsidRPr="001662B4">
        <w:rPr>
          <w:rFonts w:ascii="Times New Roman" w:eastAsia="Times New Roman" w:hAnsi="Times New Roman" w:cs="Times New Roman"/>
          <w:color w:val="000000" w:themeColor="text1"/>
          <w:sz w:val="24"/>
          <w:szCs w:val="24"/>
        </w:rPr>
        <w:t xml:space="preserve"> </w:t>
      </w:r>
      <w:r w:rsidR="00B01382" w:rsidRPr="00184490">
        <w:rPr>
          <w:rFonts w:ascii="Times New Roman" w:eastAsia="Times New Roman" w:hAnsi="Times New Roman" w:cs="Times New Roman"/>
          <w:color w:val="000000" w:themeColor="text1"/>
          <w:sz w:val="24"/>
          <w:szCs w:val="24"/>
        </w:rPr>
        <w:t xml:space="preserve">in the </w:t>
      </w:r>
      <w:r>
        <w:rPr>
          <w:rFonts w:ascii="Times New Roman" w:eastAsia="Times New Roman" w:hAnsi="Times New Roman" w:cs="Times New Roman"/>
          <w:color w:val="000000" w:themeColor="text1"/>
          <w:sz w:val="24"/>
          <w:szCs w:val="24"/>
        </w:rPr>
        <w:t>Seventh</w:t>
      </w:r>
      <w:r w:rsidRPr="00184490">
        <w:rPr>
          <w:rFonts w:ascii="Times New Roman" w:eastAsia="Times New Roman" w:hAnsi="Times New Roman" w:cs="Times New Roman"/>
          <w:color w:val="000000" w:themeColor="text1"/>
          <w:sz w:val="24"/>
          <w:szCs w:val="24"/>
        </w:rPr>
        <w:t xml:space="preserve"> </w:t>
      </w:r>
      <w:r w:rsidR="00B01382" w:rsidRPr="00184490">
        <w:rPr>
          <w:rFonts w:ascii="Times New Roman" w:eastAsia="Times New Roman" w:hAnsi="Times New Roman" w:cs="Times New Roman"/>
          <w:color w:val="000000" w:themeColor="text1"/>
          <w:sz w:val="24"/>
          <w:szCs w:val="24"/>
        </w:rPr>
        <w:t xml:space="preserve">Circuit, and </w:t>
      </w:r>
      <w:r w:rsidR="00B01382" w:rsidRPr="00184490">
        <w:rPr>
          <w:rFonts w:ascii="Times New Roman" w:eastAsia="Times New Roman" w:hAnsi="Times New Roman" w:cs="Times New Roman"/>
          <w:i/>
          <w:color w:val="000000" w:themeColor="text1"/>
          <w:sz w:val="24"/>
          <w:szCs w:val="24"/>
        </w:rPr>
        <w:t>United States v</w:t>
      </w:r>
      <w:r w:rsidR="00A31FD4">
        <w:rPr>
          <w:rFonts w:ascii="Times New Roman" w:eastAsia="Times New Roman" w:hAnsi="Times New Roman" w:cs="Times New Roman"/>
          <w:i/>
          <w:color w:val="000000" w:themeColor="text1"/>
          <w:sz w:val="24"/>
          <w:szCs w:val="24"/>
        </w:rPr>
        <w:t>.</w:t>
      </w:r>
      <w:r w:rsidR="00B01382" w:rsidRPr="00184490">
        <w:rPr>
          <w:rFonts w:ascii="Times New Roman" w:eastAsia="Times New Roman" w:hAnsi="Times New Roman" w:cs="Times New Roman"/>
          <w:i/>
          <w:color w:val="000000" w:themeColor="text1"/>
          <w:sz w:val="24"/>
          <w:szCs w:val="24"/>
        </w:rPr>
        <w:t xml:space="preserve"> Shah</w:t>
      </w:r>
      <w:r w:rsidR="00B01382" w:rsidRPr="001261E1">
        <w:rPr>
          <w:rFonts w:ascii="Times New Roman" w:eastAsia="Times New Roman" w:hAnsi="Times New Roman" w:cs="Times New Roman"/>
          <w:color w:val="000000" w:themeColor="text1"/>
          <w:sz w:val="24"/>
          <w:szCs w:val="24"/>
          <w:vertAlign w:val="superscript"/>
        </w:rPr>
        <w:footnoteReference w:id="25"/>
      </w:r>
      <w:r w:rsidR="00B01382" w:rsidRPr="001662B4">
        <w:rPr>
          <w:rFonts w:ascii="Times New Roman" w:eastAsia="Times New Roman" w:hAnsi="Times New Roman" w:cs="Times New Roman"/>
          <w:color w:val="000000" w:themeColor="text1"/>
          <w:sz w:val="24"/>
          <w:szCs w:val="24"/>
        </w:rPr>
        <w:t xml:space="preserve"> </w:t>
      </w:r>
      <w:r w:rsidR="00B01382" w:rsidRPr="00184490">
        <w:rPr>
          <w:rFonts w:ascii="Times New Roman" w:eastAsia="Times New Roman" w:hAnsi="Times New Roman" w:cs="Times New Roman"/>
          <w:color w:val="000000" w:themeColor="text1"/>
          <w:sz w:val="24"/>
          <w:szCs w:val="24"/>
        </w:rPr>
        <w:t xml:space="preserve">in the </w:t>
      </w:r>
      <w:r>
        <w:rPr>
          <w:rFonts w:ascii="Times New Roman" w:eastAsia="Times New Roman" w:hAnsi="Times New Roman" w:cs="Times New Roman"/>
          <w:color w:val="000000" w:themeColor="text1"/>
          <w:sz w:val="24"/>
          <w:szCs w:val="24"/>
        </w:rPr>
        <w:t>Eleventh</w:t>
      </w:r>
      <w:r w:rsidRPr="00184490">
        <w:rPr>
          <w:rFonts w:ascii="Times New Roman" w:eastAsia="Times New Roman" w:hAnsi="Times New Roman" w:cs="Times New Roman"/>
          <w:color w:val="000000" w:themeColor="text1"/>
          <w:sz w:val="24"/>
          <w:szCs w:val="24"/>
        </w:rPr>
        <w:t xml:space="preserve"> </w:t>
      </w:r>
      <w:r w:rsidR="00B01382" w:rsidRPr="00184490">
        <w:rPr>
          <w:rFonts w:ascii="Times New Roman" w:eastAsia="Times New Roman" w:hAnsi="Times New Roman" w:cs="Times New Roman"/>
          <w:color w:val="000000" w:themeColor="text1"/>
          <w:sz w:val="24"/>
          <w:szCs w:val="24"/>
        </w:rPr>
        <w:t>Circuit.</w:t>
      </w:r>
    </w:p>
    <w:p w14:paraId="10A69E1C" w14:textId="1EB27A39" w:rsidR="006362C1" w:rsidRPr="006362C1" w:rsidRDefault="00B01382" w:rsidP="00D4767B">
      <w:pPr>
        <w:spacing w:line="480" w:lineRule="auto"/>
        <w:ind w:firstLine="360"/>
        <w:rPr>
          <w:rFonts w:ascii="Times New Roman" w:eastAsia="Times New Roman" w:hAnsi="Times New Roman" w:cs="Times New Roman"/>
          <w:color w:val="000000" w:themeColor="text1"/>
          <w:sz w:val="24"/>
          <w:szCs w:val="24"/>
        </w:rPr>
      </w:pPr>
      <w:r w:rsidRPr="00184490">
        <w:rPr>
          <w:rFonts w:ascii="Times New Roman" w:eastAsia="Times New Roman" w:hAnsi="Times New Roman" w:cs="Times New Roman"/>
          <w:color w:val="000000" w:themeColor="text1"/>
          <w:sz w:val="24"/>
          <w:szCs w:val="24"/>
        </w:rPr>
        <w:t xml:space="preserve">In </w:t>
      </w:r>
      <w:r w:rsidRPr="00184490">
        <w:rPr>
          <w:rFonts w:ascii="Times New Roman" w:eastAsia="Times New Roman" w:hAnsi="Times New Roman" w:cs="Times New Roman"/>
          <w:i/>
          <w:color w:val="000000" w:themeColor="text1"/>
          <w:sz w:val="24"/>
          <w:szCs w:val="24"/>
        </w:rPr>
        <w:t xml:space="preserve">Benaissa, </w:t>
      </w:r>
      <w:r w:rsidR="006362C1" w:rsidRPr="006362C1">
        <w:rPr>
          <w:rFonts w:ascii="Times New Roman" w:eastAsia="Times New Roman" w:hAnsi="Times New Roman" w:cs="Times New Roman"/>
          <w:color w:val="000000" w:themeColor="text1"/>
          <w:sz w:val="24"/>
          <w:szCs w:val="24"/>
        </w:rPr>
        <w:t xml:space="preserve">the relator brought a </w:t>
      </w:r>
      <w:r w:rsidR="006362C1" w:rsidRPr="006362C1">
        <w:rPr>
          <w:rFonts w:ascii="Times New Roman" w:eastAsia="Times New Roman" w:hAnsi="Times New Roman" w:cs="Times New Roman"/>
          <w:i/>
          <w:color w:val="000000" w:themeColor="text1"/>
          <w:sz w:val="24"/>
          <w:szCs w:val="24"/>
        </w:rPr>
        <w:t>qui tam</w:t>
      </w:r>
      <w:r w:rsidR="006362C1" w:rsidRPr="006362C1">
        <w:rPr>
          <w:rFonts w:ascii="Times New Roman" w:eastAsia="Times New Roman" w:hAnsi="Times New Roman" w:cs="Times New Roman"/>
          <w:color w:val="000000" w:themeColor="text1"/>
          <w:sz w:val="24"/>
          <w:szCs w:val="24"/>
        </w:rPr>
        <w:t xml:space="preserve"> action alleging that the hospital where he was formerly employed and its parent company and affiliates submitted claims tainted by violations of the Stark Law and Anti-Kickback Statute</w:t>
      </w:r>
      <w:r w:rsidR="00174A64">
        <w:rPr>
          <w:rFonts w:ascii="Times New Roman" w:eastAsia="Times New Roman" w:hAnsi="Times New Roman" w:cs="Times New Roman"/>
          <w:color w:val="000000" w:themeColor="text1"/>
          <w:sz w:val="24"/>
          <w:szCs w:val="24"/>
        </w:rPr>
        <w:t xml:space="preserve"> (AKS)</w:t>
      </w:r>
      <w:r w:rsidR="006362C1" w:rsidRPr="006362C1">
        <w:rPr>
          <w:rFonts w:ascii="Times New Roman" w:eastAsia="Times New Roman" w:hAnsi="Times New Roman" w:cs="Times New Roman"/>
          <w:color w:val="000000" w:themeColor="text1"/>
          <w:sz w:val="24"/>
          <w:szCs w:val="24"/>
        </w:rPr>
        <w:t xml:space="preserve"> to the government in violation of the FCA.  The relator identified five physicians whom the defendants allegedly paid in excess of the 90th </w:t>
      </w:r>
      <w:r w:rsidR="006362C1" w:rsidRPr="006362C1">
        <w:rPr>
          <w:rFonts w:ascii="Times New Roman" w:eastAsia="Times New Roman" w:hAnsi="Times New Roman" w:cs="Times New Roman"/>
          <w:color w:val="000000" w:themeColor="text1"/>
          <w:sz w:val="24"/>
          <w:szCs w:val="24"/>
        </w:rPr>
        <w:lastRenderedPageBreak/>
        <w:t xml:space="preserve">percentile of compensation for their specialties, and that these physicians’ high salaries were not merited by their skills, credentials, or personal productivity, but that the defendants paid them for illegally referring patients for additional services at the hospital.  He alleged that the claims submitted by those physicians were all fraudulent as a result of the AKS and Stark Law violations.  </w:t>
      </w:r>
    </w:p>
    <w:p w14:paraId="40F2BDE6" w14:textId="1D465558" w:rsidR="00B01382" w:rsidRPr="00184490" w:rsidRDefault="006362C1" w:rsidP="00D4767B">
      <w:pPr>
        <w:spacing w:line="480" w:lineRule="auto"/>
        <w:ind w:firstLine="720"/>
        <w:rPr>
          <w:rFonts w:ascii="Times New Roman" w:eastAsia="Times New Roman" w:hAnsi="Times New Roman" w:cs="Times New Roman"/>
          <w:color w:val="000000" w:themeColor="text1"/>
          <w:sz w:val="24"/>
          <w:szCs w:val="24"/>
        </w:rPr>
      </w:pPr>
      <w:r w:rsidRPr="006362C1">
        <w:rPr>
          <w:rFonts w:ascii="Times New Roman" w:eastAsia="Times New Roman" w:hAnsi="Times New Roman" w:cs="Times New Roman"/>
          <w:color w:val="000000" w:themeColor="text1"/>
          <w:sz w:val="24"/>
          <w:szCs w:val="24"/>
        </w:rPr>
        <w:t>The district court granted the defendants’ motion to dismiss, explaining that the relator failed to allege any representative examples of false claims actually submitted, and that his argument that because Medicare reimbursements made up a large portion of the defendants’ annual revenue, some claims must necessarily have been submitted to the government was too speculative.  The Eighth Circuit agreed, finding that the relator’s allegations lacked sufficient “indicia of reliability”</w:t>
      </w:r>
      <w:r w:rsidRPr="006362C1">
        <w:rPr>
          <w:rFonts w:ascii="Times New Roman" w:eastAsia="Times New Roman" w:hAnsi="Times New Roman" w:cs="Times New Roman"/>
          <w:color w:val="000000" w:themeColor="text1"/>
          <w:sz w:val="24"/>
          <w:szCs w:val="24"/>
          <w:vertAlign w:val="superscript"/>
        </w:rPr>
        <w:footnoteReference w:id="26"/>
      </w:r>
      <w:r w:rsidRPr="006362C1">
        <w:rPr>
          <w:rFonts w:ascii="Times New Roman" w:eastAsia="Times New Roman" w:hAnsi="Times New Roman" w:cs="Times New Roman"/>
          <w:color w:val="000000" w:themeColor="text1"/>
          <w:sz w:val="24"/>
          <w:szCs w:val="24"/>
        </w:rPr>
        <w:t xml:space="preserve"> because the plaintiff was an anesthesiologist and not employed in the billing department, thus he had no firsthand knowledge of whether claims were actually submitted.  The court found these allegations too conclusory to meet the requirements of Rule 9(b). </w:t>
      </w:r>
    </w:p>
    <w:p w14:paraId="37A5AF8C" w14:textId="35B2FAC6" w:rsidR="00B01382" w:rsidRPr="00184490" w:rsidRDefault="00B01382" w:rsidP="001261E1">
      <w:pPr>
        <w:spacing w:line="480" w:lineRule="auto"/>
        <w:ind w:firstLine="720"/>
        <w:rPr>
          <w:rFonts w:ascii="Times New Roman" w:eastAsia="Times New Roman" w:hAnsi="Times New Roman" w:cs="Times New Roman"/>
          <w:i/>
          <w:color w:val="000000" w:themeColor="text1"/>
          <w:sz w:val="24"/>
          <w:szCs w:val="24"/>
        </w:rPr>
      </w:pPr>
      <w:r w:rsidRPr="00184490">
        <w:rPr>
          <w:rFonts w:ascii="Times New Roman" w:eastAsia="Times New Roman" w:hAnsi="Times New Roman" w:cs="Times New Roman"/>
          <w:color w:val="000000" w:themeColor="text1"/>
          <w:sz w:val="24"/>
          <w:szCs w:val="24"/>
        </w:rPr>
        <w:t xml:space="preserve">In </w:t>
      </w:r>
      <w:r w:rsidRPr="00184490">
        <w:rPr>
          <w:rFonts w:ascii="Times New Roman" w:eastAsia="Times New Roman" w:hAnsi="Times New Roman" w:cs="Times New Roman"/>
          <w:i/>
          <w:color w:val="000000" w:themeColor="text1"/>
          <w:sz w:val="24"/>
          <w:szCs w:val="24"/>
        </w:rPr>
        <w:t>Stop Illinois Health Care Fraud LLC v Sayeed,</w:t>
      </w:r>
      <w:r w:rsidRPr="001261E1">
        <w:rPr>
          <w:rFonts w:ascii="Times New Roman" w:eastAsia="Times New Roman" w:hAnsi="Times New Roman" w:cs="Times New Roman"/>
          <w:color w:val="000000" w:themeColor="text1"/>
          <w:sz w:val="24"/>
          <w:szCs w:val="24"/>
          <w:vertAlign w:val="superscript"/>
        </w:rPr>
        <w:footnoteReference w:id="27"/>
      </w:r>
      <w:r w:rsidRPr="00184490">
        <w:rPr>
          <w:rFonts w:ascii="Times New Roman" w:eastAsia="Times New Roman" w:hAnsi="Times New Roman" w:cs="Times New Roman"/>
          <w:i/>
          <w:color w:val="000000" w:themeColor="text1"/>
          <w:sz w:val="24"/>
          <w:szCs w:val="24"/>
        </w:rPr>
        <w:t xml:space="preserve"> </w:t>
      </w:r>
      <w:r w:rsidRPr="00184490">
        <w:rPr>
          <w:rFonts w:ascii="Times New Roman" w:eastAsia="Times New Roman" w:hAnsi="Times New Roman" w:cs="Times New Roman"/>
          <w:color w:val="000000" w:themeColor="text1"/>
          <w:sz w:val="24"/>
          <w:szCs w:val="24"/>
        </w:rPr>
        <w:t xml:space="preserve">the </w:t>
      </w:r>
      <w:r w:rsidR="006362C1">
        <w:rPr>
          <w:rFonts w:ascii="Times New Roman" w:eastAsia="Times New Roman" w:hAnsi="Times New Roman" w:cs="Times New Roman"/>
          <w:color w:val="000000" w:themeColor="text1"/>
          <w:sz w:val="24"/>
          <w:szCs w:val="24"/>
        </w:rPr>
        <w:t>Seventh</w:t>
      </w:r>
      <w:r w:rsidR="006362C1" w:rsidRPr="00184490">
        <w:rPr>
          <w:rFonts w:ascii="Times New Roman" w:eastAsia="Times New Roman" w:hAnsi="Times New Roman" w:cs="Times New Roman"/>
          <w:color w:val="000000" w:themeColor="text1"/>
          <w:sz w:val="24"/>
          <w:szCs w:val="24"/>
        </w:rPr>
        <w:t xml:space="preserve"> </w:t>
      </w:r>
      <w:r w:rsidRPr="00184490">
        <w:rPr>
          <w:rFonts w:ascii="Times New Roman" w:eastAsia="Times New Roman" w:hAnsi="Times New Roman" w:cs="Times New Roman"/>
          <w:color w:val="000000" w:themeColor="text1"/>
          <w:sz w:val="24"/>
          <w:szCs w:val="24"/>
        </w:rPr>
        <w:t xml:space="preserve">Circuit addressed the issue of what constitutes a referral. Stop Illinois Health Care Fraud LLC brought </w:t>
      </w:r>
      <w:r w:rsidRPr="001261E1">
        <w:rPr>
          <w:rFonts w:ascii="Times New Roman" w:eastAsia="Times New Roman" w:hAnsi="Times New Roman" w:cs="Times New Roman"/>
          <w:i/>
          <w:color w:val="000000" w:themeColor="text1"/>
          <w:sz w:val="24"/>
          <w:szCs w:val="24"/>
        </w:rPr>
        <w:t>qui tam</w:t>
      </w:r>
      <w:r w:rsidRPr="00184490">
        <w:rPr>
          <w:rFonts w:ascii="Times New Roman" w:eastAsia="Times New Roman" w:hAnsi="Times New Roman" w:cs="Times New Roman"/>
          <w:color w:val="000000" w:themeColor="text1"/>
          <w:sz w:val="24"/>
          <w:szCs w:val="24"/>
        </w:rPr>
        <w:t xml:space="preserve"> action against Asif Sayeed, the owner of Management Principles Inc. (MPI), along with Healthcare Consortium of Illinois (HCI)</w:t>
      </w:r>
      <w:r w:rsidR="00A31FD4">
        <w:rPr>
          <w:rFonts w:ascii="Times New Roman" w:eastAsia="Times New Roman" w:hAnsi="Times New Roman" w:cs="Times New Roman"/>
          <w:color w:val="000000" w:themeColor="text1"/>
          <w:sz w:val="24"/>
          <w:szCs w:val="24"/>
        </w:rPr>
        <w:t>, alleging that they</w:t>
      </w:r>
      <w:r w:rsidRPr="00184490">
        <w:rPr>
          <w:rFonts w:ascii="Times New Roman" w:eastAsia="Times New Roman" w:hAnsi="Times New Roman" w:cs="Times New Roman"/>
          <w:color w:val="000000" w:themeColor="text1"/>
          <w:sz w:val="24"/>
          <w:szCs w:val="24"/>
        </w:rPr>
        <w:t xml:space="preserve"> participated in a kickback scheme wherein MPI made payments to HCI in exchange for access to their client data</w:t>
      </w:r>
      <w:r w:rsidR="00884F69">
        <w:rPr>
          <w:rFonts w:ascii="Times New Roman" w:eastAsia="Times New Roman" w:hAnsi="Times New Roman" w:cs="Times New Roman"/>
          <w:color w:val="000000" w:themeColor="text1"/>
          <w:sz w:val="24"/>
          <w:szCs w:val="24"/>
        </w:rPr>
        <w:t xml:space="preserve"> so that it could </w:t>
      </w:r>
      <w:r w:rsidRPr="00184490">
        <w:rPr>
          <w:rFonts w:ascii="Times New Roman" w:eastAsia="Times New Roman" w:hAnsi="Times New Roman" w:cs="Times New Roman"/>
          <w:color w:val="000000" w:themeColor="text1"/>
          <w:sz w:val="24"/>
          <w:szCs w:val="24"/>
        </w:rPr>
        <w:t>solicit patients. These payments came in the form of gift cards and a “Management Services Agreement,”</w:t>
      </w:r>
      <w:r w:rsidRPr="00184490">
        <w:rPr>
          <w:rFonts w:ascii="Times New Roman" w:eastAsia="Times New Roman" w:hAnsi="Times New Roman" w:cs="Times New Roman"/>
          <w:color w:val="000000" w:themeColor="text1"/>
          <w:sz w:val="24"/>
          <w:szCs w:val="24"/>
          <w:vertAlign w:val="superscript"/>
        </w:rPr>
        <w:footnoteReference w:id="28"/>
      </w:r>
      <w:r w:rsidRPr="00184490">
        <w:rPr>
          <w:rFonts w:ascii="Times New Roman" w:eastAsia="Times New Roman" w:hAnsi="Times New Roman" w:cs="Times New Roman"/>
          <w:color w:val="000000" w:themeColor="text1"/>
          <w:sz w:val="24"/>
          <w:szCs w:val="24"/>
        </w:rPr>
        <w:t xml:space="preserve"> under which MPI paid HCI $5,000 per month. </w:t>
      </w:r>
      <w:r w:rsidR="00884F69">
        <w:rPr>
          <w:rFonts w:ascii="Times New Roman" w:eastAsia="Times New Roman" w:hAnsi="Times New Roman" w:cs="Times New Roman"/>
          <w:color w:val="000000" w:themeColor="text1"/>
          <w:sz w:val="24"/>
          <w:szCs w:val="24"/>
        </w:rPr>
        <w:t>The relator alleged</w:t>
      </w:r>
      <w:r w:rsidRPr="00184490">
        <w:rPr>
          <w:rFonts w:ascii="Times New Roman" w:eastAsia="Times New Roman" w:hAnsi="Times New Roman" w:cs="Times New Roman"/>
          <w:color w:val="000000" w:themeColor="text1"/>
          <w:sz w:val="24"/>
          <w:szCs w:val="24"/>
        </w:rPr>
        <w:t xml:space="preserve"> “that the defendants used the </w:t>
      </w:r>
      <w:r w:rsidRPr="00184490">
        <w:rPr>
          <w:rFonts w:ascii="Times New Roman" w:eastAsia="Times New Roman" w:hAnsi="Times New Roman" w:cs="Times New Roman"/>
          <w:color w:val="000000" w:themeColor="text1"/>
          <w:sz w:val="24"/>
          <w:szCs w:val="24"/>
        </w:rPr>
        <w:lastRenderedPageBreak/>
        <w:t>agreement ‘to get referrals for essentially any patients that they wanted by having HCI open their files</w:t>
      </w:r>
      <w:r w:rsidR="00884F69">
        <w:rPr>
          <w:rFonts w:ascii="Times New Roman" w:eastAsia="Times New Roman" w:hAnsi="Times New Roman" w:cs="Times New Roman"/>
          <w:color w:val="000000" w:themeColor="text1"/>
          <w:sz w:val="24"/>
          <w:szCs w:val="24"/>
        </w:rPr>
        <w:t>.</w:t>
      </w:r>
      <w:r w:rsidRPr="00184490">
        <w:rPr>
          <w:rFonts w:ascii="Times New Roman" w:eastAsia="Times New Roman" w:hAnsi="Times New Roman" w:cs="Times New Roman"/>
          <w:color w:val="000000" w:themeColor="text1"/>
          <w:sz w:val="24"/>
          <w:szCs w:val="24"/>
        </w:rPr>
        <w:t>’”</w:t>
      </w:r>
      <w:r w:rsidRPr="00184490">
        <w:rPr>
          <w:rFonts w:ascii="Times New Roman" w:eastAsia="Times New Roman" w:hAnsi="Times New Roman" w:cs="Times New Roman"/>
          <w:color w:val="000000" w:themeColor="text1"/>
          <w:sz w:val="24"/>
          <w:szCs w:val="24"/>
          <w:vertAlign w:val="superscript"/>
        </w:rPr>
        <w:footnoteReference w:id="29"/>
      </w:r>
      <w:r w:rsidRPr="00184490">
        <w:rPr>
          <w:rFonts w:ascii="Times New Roman" w:eastAsia="Times New Roman" w:hAnsi="Times New Roman" w:cs="Times New Roman"/>
          <w:color w:val="000000" w:themeColor="text1"/>
          <w:sz w:val="24"/>
          <w:szCs w:val="24"/>
        </w:rPr>
        <w:t xml:space="preserve"> </w:t>
      </w:r>
      <w:r w:rsidR="00884F69">
        <w:rPr>
          <w:rFonts w:ascii="Times New Roman" w:eastAsia="Times New Roman" w:hAnsi="Times New Roman" w:cs="Times New Roman"/>
          <w:color w:val="000000" w:themeColor="text1"/>
          <w:sz w:val="24"/>
          <w:szCs w:val="24"/>
        </w:rPr>
        <w:t xml:space="preserve"> The district court held that </w:t>
      </w:r>
      <w:r w:rsidRPr="00184490">
        <w:rPr>
          <w:rFonts w:ascii="Times New Roman" w:eastAsia="Times New Roman" w:hAnsi="Times New Roman" w:cs="Times New Roman"/>
          <w:color w:val="000000" w:themeColor="text1"/>
          <w:sz w:val="24"/>
          <w:szCs w:val="24"/>
        </w:rPr>
        <w:t>while</w:t>
      </w:r>
      <w:r w:rsidR="00884F69">
        <w:rPr>
          <w:rFonts w:ascii="Times New Roman" w:eastAsia="Times New Roman" w:hAnsi="Times New Roman" w:cs="Times New Roman"/>
          <w:color w:val="000000" w:themeColor="text1"/>
          <w:sz w:val="24"/>
          <w:szCs w:val="24"/>
        </w:rPr>
        <w:t xml:space="preserve"> the evidence showed that</w:t>
      </w:r>
      <w:r w:rsidRPr="00184490">
        <w:rPr>
          <w:rFonts w:ascii="Times New Roman" w:eastAsia="Times New Roman" w:hAnsi="Times New Roman" w:cs="Times New Roman"/>
          <w:color w:val="000000" w:themeColor="text1"/>
          <w:sz w:val="24"/>
          <w:szCs w:val="24"/>
        </w:rPr>
        <w:t xml:space="preserve"> “an MPI employee gave low-value gift cards to a few HCI caseworkers and that the Management Services Agreement existed,</w:t>
      </w:r>
      <w:r w:rsidR="00884F69">
        <w:rPr>
          <w:rFonts w:ascii="Times New Roman" w:eastAsia="Times New Roman" w:hAnsi="Times New Roman" w:cs="Times New Roman"/>
          <w:color w:val="000000" w:themeColor="text1"/>
          <w:sz w:val="24"/>
          <w:szCs w:val="24"/>
        </w:rPr>
        <w:t xml:space="preserve"> there was </w:t>
      </w:r>
      <w:r w:rsidRPr="00184490">
        <w:rPr>
          <w:rFonts w:ascii="Times New Roman" w:eastAsia="Times New Roman" w:hAnsi="Times New Roman" w:cs="Times New Roman"/>
          <w:color w:val="000000" w:themeColor="text1"/>
          <w:sz w:val="24"/>
          <w:szCs w:val="24"/>
        </w:rPr>
        <w:t>no evidence that either was intended to induce patient referrals</w:t>
      </w:r>
      <w:r w:rsidR="00884F69">
        <w:rPr>
          <w:rFonts w:ascii="Times New Roman" w:eastAsia="Times New Roman" w:hAnsi="Times New Roman" w:cs="Times New Roman"/>
          <w:color w:val="000000" w:themeColor="text1"/>
          <w:sz w:val="24"/>
          <w:szCs w:val="24"/>
        </w:rPr>
        <w:t>,</w:t>
      </w:r>
      <w:r w:rsidRPr="00184490">
        <w:rPr>
          <w:rFonts w:ascii="Times New Roman" w:eastAsia="Times New Roman" w:hAnsi="Times New Roman" w:cs="Times New Roman"/>
          <w:color w:val="000000" w:themeColor="text1"/>
          <w:sz w:val="24"/>
          <w:szCs w:val="24"/>
        </w:rPr>
        <w:t>”</w:t>
      </w:r>
      <w:r w:rsidRPr="00184490">
        <w:rPr>
          <w:rFonts w:ascii="Times New Roman" w:eastAsia="Times New Roman" w:hAnsi="Times New Roman" w:cs="Times New Roman"/>
          <w:color w:val="000000" w:themeColor="text1"/>
          <w:sz w:val="24"/>
          <w:szCs w:val="24"/>
          <w:vertAlign w:val="superscript"/>
        </w:rPr>
        <w:footnoteReference w:id="30"/>
      </w:r>
      <w:r w:rsidRPr="00184490">
        <w:rPr>
          <w:rFonts w:ascii="Times New Roman" w:eastAsia="Times New Roman" w:hAnsi="Times New Roman" w:cs="Times New Roman"/>
          <w:color w:val="000000" w:themeColor="text1"/>
          <w:sz w:val="24"/>
          <w:szCs w:val="24"/>
        </w:rPr>
        <w:t xml:space="preserve"> </w:t>
      </w:r>
      <w:r w:rsidR="00884F69">
        <w:rPr>
          <w:rFonts w:ascii="Times New Roman" w:eastAsia="Times New Roman" w:hAnsi="Times New Roman" w:cs="Times New Roman"/>
          <w:color w:val="000000" w:themeColor="text1"/>
          <w:sz w:val="24"/>
          <w:szCs w:val="24"/>
        </w:rPr>
        <w:t xml:space="preserve">and granted the defendants’ motion for judgment on partial findings.  </w:t>
      </w:r>
      <w:r w:rsidRPr="00184490">
        <w:rPr>
          <w:rFonts w:ascii="Times New Roman" w:eastAsia="Times New Roman" w:hAnsi="Times New Roman" w:cs="Times New Roman"/>
          <w:color w:val="000000" w:themeColor="text1"/>
          <w:sz w:val="24"/>
          <w:szCs w:val="24"/>
        </w:rPr>
        <w:t xml:space="preserve">The </w:t>
      </w:r>
      <w:r w:rsidR="00884F69">
        <w:rPr>
          <w:rFonts w:ascii="Times New Roman" w:eastAsia="Times New Roman" w:hAnsi="Times New Roman" w:cs="Times New Roman"/>
          <w:color w:val="000000" w:themeColor="text1"/>
          <w:sz w:val="24"/>
          <w:szCs w:val="24"/>
        </w:rPr>
        <w:t>Seventh</w:t>
      </w:r>
      <w:r w:rsidR="00884F69" w:rsidRPr="00184490">
        <w:rPr>
          <w:rFonts w:ascii="Times New Roman" w:eastAsia="Times New Roman" w:hAnsi="Times New Roman" w:cs="Times New Roman"/>
          <w:color w:val="000000" w:themeColor="text1"/>
          <w:sz w:val="24"/>
          <w:szCs w:val="24"/>
        </w:rPr>
        <w:t xml:space="preserve"> </w:t>
      </w:r>
      <w:r w:rsidRPr="00184490">
        <w:rPr>
          <w:rFonts w:ascii="Times New Roman" w:eastAsia="Times New Roman" w:hAnsi="Times New Roman" w:cs="Times New Roman"/>
          <w:color w:val="000000" w:themeColor="text1"/>
          <w:sz w:val="24"/>
          <w:szCs w:val="24"/>
        </w:rPr>
        <w:t xml:space="preserve">Circuit reversed and remanded, </w:t>
      </w:r>
      <w:r w:rsidR="004437B4">
        <w:rPr>
          <w:rFonts w:ascii="Times New Roman" w:eastAsia="Times New Roman" w:hAnsi="Times New Roman" w:cs="Times New Roman"/>
          <w:color w:val="000000" w:themeColor="text1"/>
          <w:sz w:val="24"/>
          <w:szCs w:val="24"/>
        </w:rPr>
        <w:t xml:space="preserve">explaining that </w:t>
      </w:r>
      <w:r w:rsidR="000306D9">
        <w:rPr>
          <w:rFonts w:ascii="Times New Roman" w:eastAsia="Times New Roman" w:hAnsi="Times New Roman" w:cs="Times New Roman"/>
          <w:color w:val="000000" w:themeColor="text1"/>
          <w:sz w:val="24"/>
          <w:szCs w:val="24"/>
        </w:rPr>
        <w:t xml:space="preserve">it was </w:t>
      </w:r>
      <w:r w:rsidRPr="00184490">
        <w:rPr>
          <w:rFonts w:ascii="Times New Roman" w:eastAsia="Times New Roman" w:hAnsi="Times New Roman" w:cs="Times New Roman"/>
          <w:color w:val="000000" w:themeColor="text1"/>
          <w:sz w:val="24"/>
          <w:szCs w:val="24"/>
        </w:rPr>
        <w:t xml:space="preserve">“unable to confirm that the </w:t>
      </w:r>
      <w:r w:rsidR="000306D9">
        <w:rPr>
          <w:rFonts w:ascii="Times New Roman" w:eastAsia="Times New Roman" w:hAnsi="Times New Roman" w:cs="Times New Roman"/>
          <w:color w:val="000000" w:themeColor="text1"/>
          <w:sz w:val="24"/>
          <w:szCs w:val="24"/>
        </w:rPr>
        <w:t xml:space="preserve">[district] </w:t>
      </w:r>
      <w:r w:rsidRPr="00184490">
        <w:rPr>
          <w:rFonts w:ascii="Times New Roman" w:eastAsia="Times New Roman" w:hAnsi="Times New Roman" w:cs="Times New Roman"/>
          <w:color w:val="000000" w:themeColor="text1"/>
          <w:sz w:val="24"/>
          <w:szCs w:val="24"/>
        </w:rPr>
        <w:t xml:space="preserve">court employed the proper definition of a proscribed referral” </w:t>
      </w:r>
      <w:r w:rsidR="000306D9">
        <w:rPr>
          <w:rFonts w:ascii="Times New Roman" w:eastAsia="Times New Roman" w:hAnsi="Times New Roman" w:cs="Times New Roman"/>
          <w:color w:val="000000" w:themeColor="text1"/>
          <w:sz w:val="24"/>
          <w:szCs w:val="24"/>
        </w:rPr>
        <w:t xml:space="preserve">with respect to the Management Services Agreement, and that the </w:t>
      </w:r>
      <w:r w:rsidRPr="00184490">
        <w:rPr>
          <w:rFonts w:ascii="Times New Roman" w:eastAsia="Times New Roman" w:hAnsi="Times New Roman" w:cs="Times New Roman"/>
          <w:color w:val="000000" w:themeColor="text1"/>
          <w:sz w:val="24"/>
          <w:szCs w:val="24"/>
        </w:rPr>
        <w:t>district court should not have so readily dismissed the “file-access theory of referral</w:t>
      </w:r>
      <w:r w:rsidR="000306D9">
        <w:rPr>
          <w:rFonts w:ascii="Times New Roman" w:eastAsia="Times New Roman" w:hAnsi="Times New Roman" w:cs="Times New Roman"/>
          <w:color w:val="000000" w:themeColor="text1"/>
          <w:sz w:val="24"/>
          <w:szCs w:val="24"/>
        </w:rPr>
        <w:t>.</w:t>
      </w:r>
      <w:r w:rsidRPr="00184490">
        <w:rPr>
          <w:rFonts w:ascii="Times New Roman" w:eastAsia="Times New Roman" w:hAnsi="Times New Roman" w:cs="Times New Roman"/>
          <w:color w:val="000000" w:themeColor="text1"/>
          <w:sz w:val="24"/>
          <w:szCs w:val="24"/>
        </w:rPr>
        <w:t>”</w:t>
      </w:r>
      <w:r w:rsidRPr="00184490">
        <w:rPr>
          <w:rFonts w:ascii="Times New Roman" w:eastAsia="Times New Roman" w:hAnsi="Times New Roman" w:cs="Times New Roman"/>
          <w:color w:val="000000" w:themeColor="text1"/>
          <w:sz w:val="24"/>
          <w:szCs w:val="24"/>
          <w:vertAlign w:val="superscript"/>
        </w:rPr>
        <w:footnoteReference w:id="31"/>
      </w:r>
    </w:p>
    <w:p w14:paraId="0DFCC92E" w14:textId="35262417" w:rsidR="00B01382" w:rsidRPr="00184490" w:rsidRDefault="00A1409D" w:rsidP="008F1E23">
      <w:pPr>
        <w:spacing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a</w:t>
      </w:r>
      <w:r w:rsidR="00174A64">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 xml:space="preserve"> important decision, the </w:t>
      </w:r>
      <w:r w:rsidR="00911C15">
        <w:rPr>
          <w:rFonts w:ascii="Times New Roman" w:eastAsia="Times New Roman" w:hAnsi="Times New Roman" w:cs="Times New Roman"/>
          <w:color w:val="000000" w:themeColor="text1"/>
          <w:sz w:val="24"/>
          <w:szCs w:val="24"/>
        </w:rPr>
        <w:t xml:space="preserve">Eleventh Circuit established in </w:t>
      </w:r>
      <w:r w:rsidR="00B01382" w:rsidRPr="00184490">
        <w:rPr>
          <w:rFonts w:ascii="Times New Roman" w:eastAsia="Times New Roman" w:hAnsi="Times New Roman" w:cs="Times New Roman"/>
          <w:i/>
          <w:color w:val="000000" w:themeColor="text1"/>
          <w:sz w:val="24"/>
          <w:szCs w:val="24"/>
        </w:rPr>
        <w:t>United States v</w:t>
      </w:r>
      <w:r w:rsidR="00911C15">
        <w:rPr>
          <w:rFonts w:ascii="Times New Roman" w:eastAsia="Times New Roman" w:hAnsi="Times New Roman" w:cs="Times New Roman"/>
          <w:i/>
          <w:color w:val="000000" w:themeColor="text1"/>
          <w:sz w:val="24"/>
          <w:szCs w:val="24"/>
        </w:rPr>
        <w:t>.</w:t>
      </w:r>
      <w:r w:rsidR="00B01382" w:rsidRPr="00184490">
        <w:rPr>
          <w:rFonts w:ascii="Times New Roman" w:eastAsia="Times New Roman" w:hAnsi="Times New Roman" w:cs="Times New Roman"/>
          <w:i/>
          <w:color w:val="000000" w:themeColor="text1"/>
          <w:sz w:val="24"/>
          <w:szCs w:val="24"/>
        </w:rPr>
        <w:t xml:space="preserve"> Shah</w:t>
      </w:r>
      <w:r w:rsidR="00B01382" w:rsidRPr="001261E1">
        <w:rPr>
          <w:rFonts w:ascii="Times New Roman" w:eastAsia="Times New Roman" w:hAnsi="Times New Roman" w:cs="Times New Roman"/>
          <w:color w:val="000000" w:themeColor="text1"/>
          <w:sz w:val="24"/>
          <w:szCs w:val="24"/>
          <w:vertAlign w:val="superscript"/>
        </w:rPr>
        <w:footnoteReference w:id="32"/>
      </w:r>
      <w:r w:rsidR="00B01382" w:rsidRPr="00184490">
        <w:rPr>
          <w:rFonts w:ascii="Times New Roman" w:eastAsia="Times New Roman" w:hAnsi="Times New Roman" w:cs="Times New Roman"/>
          <w:i/>
          <w:color w:val="000000" w:themeColor="text1"/>
          <w:sz w:val="24"/>
          <w:szCs w:val="24"/>
        </w:rPr>
        <w:t xml:space="preserve"> </w:t>
      </w:r>
      <w:r w:rsidR="00B01382" w:rsidRPr="00184490">
        <w:rPr>
          <w:rFonts w:ascii="Times New Roman" w:eastAsia="Times New Roman" w:hAnsi="Times New Roman" w:cs="Times New Roman"/>
          <w:color w:val="000000" w:themeColor="text1"/>
          <w:sz w:val="24"/>
          <w:szCs w:val="24"/>
        </w:rPr>
        <w:t>that plaintiff</w:t>
      </w:r>
      <w:r w:rsidR="00911C15">
        <w:rPr>
          <w:rFonts w:ascii="Times New Roman" w:eastAsia="Times New Roman" w:hAnsi="Times New Roman" w:cs="Times New Roman"/>
          <w:color w:val="000000" w:themeColor="text1"/>
          <w:sz w:val="24"/>
          <w:szCs w:val="24"/>
        </w:rPr>
        <w:t>s</w:t>
      </w:r>
      <w:r w:rsidR="00B01382" w:rsidRPr="00184490">
        <w:rPr>
          <w:rFonts w:ascii="Times New Roman" w:eastAsia="Times New Roman" w:hAnsi="Times New Roman" w:cs="Times New Roman"/>
          <w:color w:val="000000" w:themeColor="text1"/>
          <w:sz w:val="24"/>
          <w:szCs w:val="24"/>
        </w:rPr>
        <w:t xml:space="preserve"> do not need to prove the motivation of the defendant in </w:t>
      </w:r>
      <w:r w:rsidR="00911C15">
        <w:rPr>
          <w:rFonts w:ascii="Times New Roman" w:eastAsia="Times New Roman" w:hAnsi="Times New Roman" w:cs="Times New Roman"/>
          <w:color w:val="000000" w:themeColor="text1"/>
          <w:sz w:val="24"/>
          <w:szCs w:val="24"/>
        </w:rPr>
        <w:t xml:space="preserve">paying or </w:t>
      </w:r>
      <w:r w:rsidR="00B01382" w:rsidRPr="00184490">
        <w:rPr>
          <w:rFonts w:ascii="Times New Roman" w:eastAsia="Times New Roman" w:hAnsi="Times New Roman" w:cs="Times New Roman"/>
          <w:color w:val="000000" w:themeColor="text1"/>
          <w:sz w:val="24"/>
          <w:szCs w:val="24"/>
        </w:rPr>
        <w:t xml:space="preserve">accepting payments </w:t>
      </w:r>
      <w:r w:rsidR="00911C15">
        <w:rPr>
          <w:rFonts w:ascii="Times New Roman" w:eastAsia="Times New Roman" w:hAnsi="Times New Roman" w:cs="Times New Roman"/>
          <w:color w:val="000000" w:themeColor="text1"/>
          <w:sz w:val="24"/>
          <w:szCs w:val="24"/>
        </w:rPr>
        <w:t xml:space="preserve">in order </w:t>
      </w:r>
      <w:r w:rsidR="00167FFE">
        <w:rPr>
          <w:rFonts w:ascii="Times New Roman" w:eastAsia="Times New Roman" w:hAnsi="Times New Roman" w:cs="Times New Roman"/>
          <w:color w:val="000000" w:themeColor="text1"/>
          <w:sz w:val="24"/>
          <w:szCs w:val="24"/>
        </w:rPr>
        <w:t xml:space="preserve">sufficiently </w:t>
      </w:r>
      <w:r w:rsidR="001A5380">
        <w:rPr>
          <w:rFonts w:ascii="Times New Roman" w:eastAsia="Times New Roman" w:hAnsi="Times New Roman" w:cs="Times New Roman"/>
          <w:color w:val="000000" w:themeColor="text1"/>
          <w:sz w:val="24"/>
          <w:szCs w:val="24"/>
        </w:rPr>
        <w:t xml:space="preserve">show a violation of the AKS.  </w:t>
      </w:r>
      <w:r w:rsidR="00A31FD4">
        <w:rPr>
          <w:rFonts w:ascii="Times New Roman" w:eastAsia="Times New Roman" w:hAnsi="Times New Roman" w:cs="Times New Roman"/>
          <w:color w:val="000000" w:themeColor="text1"/>
          <w:sz w:val="24"/>
          <w:szCs w:val="24"/>
        </w:rPr>
        <w:t xml:space="preserve"> The </w:t>
      </w:r>
      <w:r w:rsidR="001A5380">
        <w:rPr>
          <w:rFonts w:ascii="Times New Roman" w:eastAsia="Times New Roman" w:hAnsi="Times New Roman" w:cs="Times New Roman"/>
          <w:color w:val="000000" w:themeColor="text1"/>
          <w:sz w:val="24"/>
          <w:szCs w:val="24"/>
        </w:rPr>
        <w:t>government alleged</w:t>
      </w:r>
      <w:r w:rsidR="00B01382" w:rsidRPr="00184490">
        <w:rPr>
          <w:rFonts w:ascii="Times New Roman" w:eastAsia="Times New Roman" w:hAnsi="Times New Roman" w:cs="Times New Roman"/>
          <w:color w:val="000000" w:themeColor="text1"/>
          <w:sz w:val="24"/>
          <w:szCs w:val="24"/>
        </w:rPr>
        <w:t xml:space="preserve"> that Shah violated the </w:t>
      </w:r>
      <w:r w:rsidR="001A5380">
        <w:rPr>
          <w:rFonts w:ascii="Times New Roman" w:eastAsia="Times New Roman" w:hAnsi="Times New Roman" w:cs="Times New Roman"/>
          <w:color w:val="000000" w:themeColor="text1"/>
          <w:sz w:val="24"/>
          <w:szCs w:val="24"/>
        </w:rPr>
        <w:t>FCA</w:t>
      </w:r>
      <w:r w:rsidR="00B01382" w:rsidRPr="00184490">
        <w:rPr>
          <w:rFonts w:ascii="Times New Roman" w:eastAsia="Times New Roman" w:hAnsi="Times New Roman" w:cs="Times New Roman"/>
          <w:color w:val="000000" w:themeColor="text1"/>
          <w:sz w:val="24"/>
          <w:szCs w:val="24"/>
        </w:rPr>
        <w:t xml:space="preserve"> by receiving payment</w:t>
      </w:r>
      <w:r w:rsidR="001A5380">
        <w:rPr>
          <w:rFonts w:ascii="Times New Roman" w:eastAsia="Times New Roman" w:hAnsi="Times New Roman" w:cs="Times New Roman"/>
          <w:color w:val="000000" w:themeColor="text1"/>
          <w:sz w:val="24"/>
          <w:szCs w:val="24"/>
        </w:rPr>
        <w:t>s</w:t>
      </w:r>
      <w:r w:rsidR="00B01382" w:rsidRPr="00184490">
        <w:rPr>
          <w:rFonts w:ascii="Times New Roman" w:eastAsia="Times New Roman" w:hAnsi="Times New Roman" w:cs="Times New Roman"/>
          <w:color w:val="000000" w:themeColor="text1"/>
          <w:sz w:val="24"/>
          <w:szCs w:val="24"/>
        </w:rPr>
        <w:t xml:space="preserve"> from a pharmaceutical company </w:t>
      </w:r>
      <w:r w:rsidR="001A5380">
        <w:rPr>
          <w:rFonts w:ascii="Times New Roman" w:eastAsia="Times New Roman" w:hAnsi="Times New Roman" w:cs="Times New Roman"/>
          <w:color w:val="000000" w:themeColor="text1"/>
          <w:sz w:val="24"/>
          <w:szCs w:val="24"/>
        </w:rPr>
        <w:t xml:space="preserve">in exchange for prescribing the company’s drugs, causing false claims to be submitted for the drugs in violation of the FCA.  At trial, the </w:t>
      </w:r>
      <w:r w:rsidR="00B01382" w:rsidRPr="00184490">
        <w:rPr>
          <w:rFonts w:ascii="Times New Roman" w:eastAsia="Times New Roman" w:hAnsi="Times New Roman" w:cs="Times New Roman"/>
          <w:color w:val="000000" w:themeColor="text1"/>
          <w:sz w:val="24"/>
          <w:szCs w:val="24"/>
        </w:rPr>
        <w:t xml:space="preserve">district court </w:t>
      </w:r>
      <w:r w:rsidR="001A5380">
        <w:rPr>
          <w:rFonts w:ascii="Times New Roman" w:eastAsia="Times New Roman" w:hAnsi="Times New Roman" w:cs="Times New Roman"/>
          <w:color w:val="000000" w:themeColor="text1"/>
          <w:sz w:val="24"/>
          <w:szCs w:val="24"/>
        </w:rPr>
        <w:t>instructed</w:t>
      </w:r>
      <w:r w:rsidR="00B01382" w:rsidRPr="00184490">
        <w:rPr>
          <w:rFonts w:ascii="Times New Roman" w:eastAsia="Times New Roman" w:hAnsi="Times New Roman" w:cs="Times New Roman"/>
          <w:color w:val="000000" w:themeColor="text1"/>
          <w:sz w:val="24"/>
          <w:szCs w:val="24"/>
        </w:rPr>
        <w:t xml:space="preserve"> the jury that “the Government must only prove that obtaining payment in return for the purchasing, ordering or leasing was one of the defendant</w:t>
      </w:r>
      <w:r w:rsidR="00CD377E">
        <w:rPr>
          <w:rFonts w:ascii="Times New Roman" w:eastAsia="Times New Roman" w:hAnsi="Times New Roman" w:cs="Times New Roman"/>
          <w:color w:val="000000" w:themeColor="text1"/>
          <w:sz w:val="24"/>
          <w:szCs w:val="24"/>
        </w:rPr>
        <w:t>’</w:t>
      </w:r>
      <w:r w:rsidR="00B01382" w:rsidRPr="00184490">
        <w:rPr>
          <w:rFonts w:ascii="Times New Roman" w:eastAsia="Times New Roman" w:hAnsi="Times New Roman" w:cs="Times New Roman"/>
          <w:color w:val="000000" w:themeColor="text1"/>
          <w:sz w:val="24"/>
          <w:szCs w:val="24"/>
        </w:rPr>
        <w:t>s purposes in soliciting or receiving the remuneration or kickback.”</w:t>
      </w:r>
      <w:r w:rsidR="00B01382" w:rsidRPr="00184490">
        <w:rPr>
          <w:rFonts w:ascii="Times New Roman" w:eastAsia="Times New Roman" w:hAnsi="Times New Roman" w:cs="Times New Roman"/>
          <w:color w:val="000000" w:themeColor="text1"/>
          <w:sz w:val="24"/>
          <w:szCs w:val="24"/>
          <w:vertAlign w:val="superscript"/>
        </w:rPr>
        <w:footnoteReference w:id="33"/>
      </w:r>
      <w:r w:rsidR="00B01382" w:rsidRPr="00184490">
        <w:rPr>
          <w:rFonts w:ascii="Times New Roman" w:eastAsia="Times New Roman" w:hAnsi="Times New Roman" w:cs="Times New Roman"/>
          <w:color w:val="000000" w:themeColor="text1"/>
          <w:sz w:val="24"/>
          <w:szCs w:val="24"/>
        </w:rPr>
        <w:t xml:space="preserve"> After </w:t>
      </w:r>
      <w:r w:rsidR="00CD377E">
        <w:rPr>
          <w:rFonts w:ascii="Times New Roman" w:eastAsia="Times New Roman" w:hAnsi="Times New Roman" w:cs="Times New Roman"/>
          <w:color w:val="000000" w:themeColor="text1"/>
          <w:sz w:val="24"/>
          <w:szCs w:val="24"/>
        </w:rPr>
        <w:t xml:space="preserve">the jury returned a verdict in favor of the government, the defendant appealed, argued that </w:t>
      </w:r>
      <w:r w:rsidR="00B01382" w:rsidRPr="00184490">
        <w:rPr>
          <w:rFonts w:ascii="Times New Roman" w:eastAsia="Times New Roman" w:hAnsi="Times New Roman" w:cs="Times New Roman"/>
          <w:color w:val="000000" w:themeColor="text1"/>
          <w:sz w:val="24"/>
          <w:szCs w:val="24"/>
        </w:rPr>
        <w:t>“the government was required to prove that his main or only reason for accepting the payment was because it was made in return for writing prescriptions.”</w:t>
      </w:r>
      <w:r w:rsidR="00B01382" w:rsidRPr="00184490">
        <w:rPr>
          <w:rFonts w:ascii="Times New Roman" w:eastAsia="Times New Roman" w:hAnsi="Times New Roman" w:cs="Times New Roman"/>
          <w:color w:val="000000" w:themeColor="text1"/>
          <w:sz w:val="24"/>
          <w:szCs w:val="24"/>
          <w:vertAlign w:val="superscript"/>
        </w:rPr>
        <w:footnoteReference w:id="34"/>
      </w:r>
      <w:r w:rsidR="00B01382" w:rsidRPr="00184490">
        <w:rPr>
          <w:rFonts w:ascii="Times New Roman" w:eastAsia="Times New Roman" w:hAnsi="Times New Roman" w:cs="Times New Roman"/>
          <w:color w:val="000000" w:themeColor="text1"/>
          <w:sz w:val="24"/>
          <w:szCs w:val="24"/>
        </w:rPr>
        <w:t xml:space="preserve"> </w:t>
      </w:r>
      <w:r w:rsidR="00CD377E">
        <w:rPr>
          <w:rFonts w:ascii="Times New Roman" w:eastAsia="Times New Roman" w:hAnsi="Times New Roman" w:cs="Times New Roman"/>
          <w:color w:val="000000" w:themeColor="text1"/>
          <w:sz w:val="24"/>
          <w:szCs w:val="24"/>
        </w:rPr>
        <w:t xml:space="preserve">The Eleventh Circuit found that </w:t>
      </w:r>
      <w:r w:rsidR="00B01382" w:rsidRPr="00184490">
        <w:rPr>
          <w:rFonts w:ascii="Times New Roman" w:eastAsia="Times New Roman" w:hAnsi="Times New Roman" w:cs="Times New Roman"/>
          <w:color w:val="000000" w:themeColor="text1"/>
          <w:sz w:val="24"/>
          <w:szCs w:val="24"/>
        </w:rPr>
        <w:t xml:space="preserve">the district court did err in </w:t>
      </w:r>
      <w:r w:rsidR="00CD377E">
        <w:rPr>
          <w:rFonts w:ascii="Times New Roman" w:eastAsia="Times New Roman" w:hAnsi="Times New Roman" w:cs="Times New Roman"/>
          <w:color w:val="000000" w:themeColor="text1"/>
          <w:sz w:val="24"/>
          <w:szCs w:val="24"/>
        </w:rPr>
        <w:t>its</w:t>
      </w:r>
      <w:r w:rsidR="00CD377E" w:rsidRPr="00184490">
        <w:rPr>
          <w:rFonts w:ascii="Times New Roman" w:eastAsia="Times New Roman" w:hAnsi="Times New Roman" w:cs="Times New Roman"/>
          <w:color w:val="000000" w:themeColor="text1"/>
          <w:sz w:val="24"/>
          <w:szCs w:val="24"/>
        </w:rPr>
        <w:t xml:space="preserve"> </w:t>
      </w:r>
      <w:r w:rsidR="00B01382" w:rsidRPr="00184490">
        <w:rPr>
          <w:rFonts w:ascii="Times New Roman" w:eastAsia="Times New Roman" w:hAnsi="Times New Roman" w:cs="Times New Roman"/>
          <w:color w:val="000000" w:themeColor="text1"/>
          <w:sz w:val="24"/>
          <w:szCs w:val="24"/>
        </w:rPr>
        <w:t xml:space="preserve">instructions, however, </w:t>
      </w:r>
      <w:r w:rsidR="00CD377E">
        <w:rPr>
          <w:rFonts w:ascii="Times New Roman" w:eastAsia="Times New Roman" w:hAnsi="Times New Roman" w:cs="Times New Roman"/>
          <w:color w:val="000000" w:themeColor="text1"/>
          <w:sz w:val="24"/>
          <w:szCs w:val="24"/>
        </w:rPr>
        <w:t>it</w:t>
      </w:r>
      <w:r w:rsidR="00CD377E" w:rsidRPr="00184490">
        <w:rPr>
          <w:rFonts w:ascii="Times New Roman" w:eastAsia="Times New Roman" w:hAnsi="Times New Roman" w:cs="Times New Roman"/>
          <w:color w:val="000000" w:themeColor="text1"/>
          <w:sz w:val="24"/>
          <w:szCs w:val="24"/>
        </w:rPr>
        <w:t xml:space="preserve"> </w:t>
      </w:r>
      <w:r w:rsidR="00B01382" w:rsidRPr="00184490">
        <w:rPr>
          <w:rFonts w:ascii="Times New Roman" w:eastAsia="Times New Roman" w:hAnsi="Times New Roman" w:cs="Times New Roman"/>
          <w:color w:val="000000" w:themeColor="text1"/>
          <w:sz w:val="24"/>
          <w:szCs w:val="24"/>
        </w:rPr>
        <w:t xml:space="preserve">concluded that </w:t>
      </w:r>
      <w:r w:rsidR="00CD377E">
        <w:rPr>
          <w:rFonts w:ascii="Times New Roman" w:eastAsia="Times New Roman" w:hAnsi="Times New Roman" w:cs="Times New Roman"/>
          <w:color w:val="000000" w:themeColor="text1"/>
          <w:sz w:val="24"/>
          <w:szCs w:val="24"/>
        </w:rPr>
        <w:t xml:space="preserve">not only was the </w:t>
      </w:r>
      <w:r w:rsidR="00B01382" w:rsidRPr="00184490">
        <w:rPr>
          <w:rFonts w:ascii="Times New Roman" w:eastAsia="Times New Roman" w:hAnsi="Times New Roman" w:cs="Times New Roman"/>
          <w:color w:val="000000" w:themeColor="text1"/>
          <w:sz w:val="24"/>
          <w:szCs w:val="24"/>
        </w:rPr>
        <w:t xml:space="preserve">government </w:t>
      </w:r>
      <w:r w:rsidR="00CD377E">
        <w:rPr>
          <w:rFonts w:ascii="Times New Roman" w:eastAsia="Times New Roman" w:hAnsi="Times New Roman" w:cs="Times New Roman"/>
          <w:color w:val="000000" w:themeColor="text1"/>
          <w:sz w:val="24"/>
          <w:szCs w:val="24"/>
        </w:rPr>
        <w:t xml:space="preserve">not required </w:t>
      </w:r>
      <w:r w:rsidR="00B01382" w:rsidRPr="00184490">
        <w:rPr>
          <w:rFonts w:ascii="Times New Roman" w:eastAsia="Times New Roman" w:hAnsi="Times New Roman" w:cs="Times New Roman"/>
          <w:color w:val="000000" w:themeColor="text1"/>
          <w:sz w:val="24"/>
          <w:szCs w:val="24"/>
        </w:rPr>
        <w:t xml:space="preserve">to prove that </w:t>
      </w:r>
      <w:r w:rsidR="00B01382" w:rsidRPr="00184490">
        <w:rPr>
          <w:rFonts w:ascii="Times New Roman" w:eastAsia="Times New Roman" w:hAnsi="Times New Roman" w:cs="Times New Roman"/>
          <w:color w:val="000000" w:themeColor="text1"/>
          <w:sz w:val="24"/>
          <w:szCs w:val="24"/>
        </w:rPr>
        <w:lastRenderedPageBreak/>
        <w:t xml:space="preserve">the primary reason for accepting payment was </w:t>
      </w:r>
      <w:r w:rsidR="00CD377E">
        <w:rPr>
          <w:rFonts w:ascii="Times New Roman" w:eastAsia="Times New Roman" w:hAnsi="Times New Roman" w:cs="Times New Roman"/>
          <w:color w:val="000000" w:themeColor="text1"/>
          <w:sz w:val="24"/>
          <w:szCs w:val="24"/>
        </w:rPr>
        <w:t xml:space="preserve">because it was made </w:t>
      </w:r>
      <w:r w:rsidR="00B01382" w:rsidRPr="00184490">
        <w:rPr>
          <w:rFonts w:ascii="Times New Roman" w:eastAsia="Times New Roman" w:hAnsi="Times New Roman" w:cs="Times New Roman"/>
          <w:color w:val="000000" w:themeColor="text1"/>
          <w:sz w:val="24"/>
          <w:szCs w:val="24"/>
        </w:rPr>
        <w:t xml:space="preserve">in </w:t>
      </w:r>
      <w:r w:rsidR="00CD377E">
        <w:rPr>
          <w:rFonts w:ascii="Times New Roman" w:eastAsia="Times New Roman" w:hAnsi="Times New Roman" w:cs="Times New Roman"/>
          <w:color w:val="000000" w:themeColor="text1"/>
          <w:sz w:val="24"/>
          <w:szCs w:val="24"/>
        </w:rPr>
        <w:t>re</w:t>
      </w:r>
      <w:r w:rsidR="00B01382" w:rsidRPr="00184490">
        <w:rPr>
          <w:rFonts w:ascii="Times New Roman" w:eastAsia="Times New Roman" w:hAnsi="Times New Roman" w:cs="Times New Roman"/>
          <w:color w:val="000000" w:themeColor="text1"/>
          <w:sz w:val="24"/>
          <w:szCs w:val="24"/>
        </w:rPr>
        <w:t>turn for writing prescriptions, but</w:t>
      </w:r>
      <w:r w:rsidR="00CD377E">
        <w:rPr>
          <w:rFonts w:ascii="Times New Roman" w:eastAsia="Times New Roman" w:hAnsi="Times New Roman" w:cs="Times New Roman"/>
          <w:color w:val="000000" w:themeColor="text1"/>
          <w:sz w:val="24"/>
          <w:szCs w:val="24"/>
        </w:rPr>
        <w:t xml:space="preserve"> </w:t>
      </w:r>
      <w:r w:rsidR="00B01382" w:rsidRPr="00184490">
        <w:rPr>
          <w:rFonts w:ascii="Times New Roman" w:eastAsia="Times New Roman" w:hAnsi="Times New Roman" w:cs="Times New Roman"/>
          <w:color w:val="000000" w:themeColor="text1"/>
          <w:sz w:val="24"/>
          <w:szCs w:val="24"/>
        </w:rPr>
        <w:t xml:space="preserve">that there </w:t>
      </w:r>
      <w:r w:rsidR="00CD377E">
        <w:rPr>
          <w:rFonts w:ascii="Times New Roman" w:eastAsia="Times New Roman" w:hAnsi="Times New Roman" w:cs="Times New Roman"/>
          <w:color w:val="000000" w:themeColor="text1"/>
          <w:sz w:val="24"/>
          <w:szCs w:val="24"/>
        </w:rPr>
        <w:t>was</w:t>
      </w:r>
      <w:r w:rsidR="00B01382" w:rsidRPr="00184490">
        <w:rPr>
          <w:rFonts w:ascii="Times New Roman" w:eastAsia="Times New Roman" w:hAnsi="Times New Roman" w:cs="Times New Roman"/>
          <w:color w:val="000000" w:themeColor="text1"/>
          <w:sz w:val="24"/>
          <w:szCs w:val="24"/>
        </w:rPr>
        <w:t xml:space="preserve"> no requirement that the government prove the motivation behind accepting payments</w:t>
      </w:r>
      <w:r w:rsidR="00CD377E">
        <w:rPr>
          <w:rFonts w:ascii="Times New Roman" w:eastAsia="Times New Roman" w:hAnsi="Times New Roman" w:cs="Times New Roman"/>
          <w:color w:val="000000" w:themeColor="text1"/>
          <w:sz w:val="24"/>
          <w:szCs w:val="24"/>
        </w:rPr>
        <w:t xml:space="preserve"> at all</w:t>
      </w:r>
      <w:r w:rsidR="00B01382" w:rsidRPr="00184490">
        <w:rPr>
          <w:rFonts w:ascii="Times New Roman" w:eastAsia="Times New Roman" w:hAnsi="Times New Roman" w:cs="Times New Roman"/>
          <w:color w:val="000000" w:themeColor="text1"/>
          <w:sz w:val="24"/>
          <w:szCs w:val="24"/>
        </w:rPr>
        <w:t xml:space="preserve">. The circuit court </w:t>
      </w:r>
      <w:r w:rsidR="00CD377E">
        <w:rPr>
          <w:rFonts w:ascii="Times New Roman" w:eastAsia="Times New Roman" w:hAnsi="Times New Roman" w:cs="Times New Roman"/>
          <w:color w:val="000000" w:themeColor="text1"/>
          <w:sz w:val="24"/>
          <w:szCs w:val="24"/>
        </w:rPr>
        <w:t xml:space="preserve">concluded that </w:t>
      </w:r>
      <w:r w:rsidR="00B01382" w:rsidRPr="00184490">
        <w:rPr>
          <w:rFonts w:ascii="Times New Roman" w:eastAsia="Times New Roman" w:hAnsi="Times New Roman" w:cs="Times New Roman"/>
          <w:color w:val="000000" w:themeColor="text1"/>
          <w:sz w:val="24"/>
          <w:szCs w:val="24"/>
        </w:rPr>
        <w:t xml:space="preserve">the jury instructions did not harm </w:t>
      </w:r>
      <w:r w:rsidR="00174A64" w:rsidRPr="00184490">
        <w:rPr>
          <w:rFonts w:ascii="Times New Roman" w:eastAsia="Times New Roman" w:hAnsi="Times New Roman" w:cs="Times New Roman"/>
          <w:color w:val="000000" w:themeColor="text1"/>
          <w:sz w:val="24"/>
          <w:szCs w:val="24"/>
        </w:rPr>
        <w:t>Shah</w:t>
      </w:r>
      <w:r w:rsidR="00174A64">
        <w:rPr>
          <w:rFonts w:ascii="Times New Roman" w:eastAsia="Times New Roman" w:hAnsi="Times New Roman" w:cs="Times New Roman"/>
          <w:color w:val="000000" w:themeColor="text1"/>
          <w:sz w:val="24"/>
          <w:szCs w:val="24"/>
        </w:rPr>
        <w:t xml:space="preserve">, and thus </w:t>
      </w:r>
      <w:r w:rsidR="00174A64" w:rsidRPr="00184490">
        <w:rPr>
          <w:rFonts w:ascii="Times New Roman" w:eastAsia="Times New Roman" w:hAnsi="Times New Roman" w:cs="Times New Roman"/>
          <w:color w:val="000000" w:themeColor="text1"/>
          <w:sz w:val="24"/>
          <w:szCs w:val="24"/>
        </w:rPr>
        <w:t>affirmed</w:t>
      </w:r>
      <w:r w:rsidR="00B01382" w:rsidRPr="00184490">
        <w:rPr>
          <w:rFonts w:ascii="Times New Roman" w:eastAsia="Times New Roman" w:hAnsi="Times New Roman" w:cs="Times New Roman"/>
          <w:color w:val="000000" w:themeColor="text1"/>
          <w:sz w:val="24"/>
          <w:szCs w:val="24"/>
        </w:rPr>
        <w:t xml:space="preserve"> the ruling of the district court</w:t>
      </w:r>
      <w:r w:rsidR="00CD377E">
        <w:rPr>
          <w:rFonts w:ascii="Times New Roman" w:eastAsia="Times New Roman" w:hAnsi="Times New Roman" w:cs="Times New Roman"/>
          <w:color w:val="000000" w:themeColor="text1"/>
          <w:sz w:val="24"/>
          <w:szCs w:val="24"/>
        </w:rPr>
        <w:t>.</w:t>
      </w:r>
      <w:r w:rsidR="00B01382" w:rsidRPr="00184490">
        <w:rPr>
          <w:rFonts w:ascii="Times New Roman" w:eastAsia="Times New Roman" w:hAnsi="Times New Roman" w:cs="Times New Roman"/>
          <w:color w:val="000000" w:themeColor="text1"/>
          <w:sz w:val="24"/>
          <w:szCs w:val="24"/>
        </w:rPr>
        <w:t xml:space="preserve"> </w:t>
      </w:r>
    </w:p>
    <w:p w14:paraId="3F8AFC88" w14:textId="13434C7E" w:rsidR="00552B71" w:rsidRPr="008F1E23" w:rsidRDefault="00552B71" w:rsidP="008F1E23">
      <w:pPr>
        <w:spacing w:line="480" w:lineRule="auto"/>
        <w:ind w:firstLine="720"/>
        <w:rPr>
          <w:rFonts w:ascii="Times New Roman" w:eastAsia="Times New Roman" w:hAnsi="Times New Roman" w:cs="Times New Roman"/>
          <w:color w:val="000000" w:themeColor="text1"/>
          <w:sz w:val="24"/>
          <w:szCs w:val="24"/>
          <w:lang w:val="en-US"/>
        </w:rPr>
      </w:pPr>
      <w:r w:rsidRPr="00184490">
        <w:rPr>
          <w:rFonts w:ascii="Times New Roman" w:eastAsia="Times New Roman" w:hAnsi="Times New Roman" w:cs="Times New Roman"/>
          <w:color w:val="000000" w:themeColor="text1"/>
          <w:sz w:val="24"/>
          <w:szCs w:val="24"/>
        </w:rPr>
        <w:t>In other AKS news</w:t>
      </w:r>
      <w:r w:rsidR="00B85B4A" w:rsidRPr="00184490">
        <w:rPr>
          <w:rFonts w:ascii="Times New Roman" w:eastAsia="Times New Roman" w:hAnsi="Times New Roman" w:cs="Times New Roman"/>
          <w:color w:val="000000" w:themeColor="text1"/>
          <w:sz w:val="24"/>
          <w:szCs w:val="24"/>
        </w:rPr>
        <w:t xml:space="preserve">, some major settlements with certain pharmaceutical corporations were </w:t>
      </w:r>
      <w:r w:rsidR="00934774" w:rsidRPr="00184490">
        <w:rPr>
          <w:rFonts w:ascii="Times New Roman" w:eastAsia="Times New Roman" w:hAnsi="Times New Roman" w:cs="Times New Roman"/>
          <w:color w:val="000000" w:themeColor="text1"/>
          <w:sz w:val="24"/>
          <w:szCs w:val="24"/>
        </w:rPr>
        <w:t>announced this year</w:t>
      </w:r>
      <w:r w:rsidR="00A34542" w:rsidRPr="00184490">
        <w:rPr>
          <w:rFonts w:ascii="Times New Roman" w:eastAsia="Times New Roman" w:hAnsi="Times New Roman" w:cs="Times New Roman"/>
          <w:color w:val="000000" w:themeColor="text1"/>
          <w:sz w:val="24"/>
          <w:szCs w:val="24"/>
        </w:rPr>
        <w:t xml:space="preserve">. One of particular note was Novartis’s </w:t>
      </w:r>
      <w:r w:rsidR="00CD377E">
        <w:rPr>
          <w:rFonts w:ascii="Times New Roman" w:eastAsia="Times New Roman" w:hAnsi="Times New Roman" w:cs="Times New Roman"/>
          <w:color w:val="000000" w:themeColor="text1"/>
          <w:sz w:val="24"/>
          <w:szCs w:val="24"/>
        </w:rPr>
        <w:t>agreement to</w:t>
      </w:r>
      <w:r w:rsidR="00CD377E" w:rsidRPr="00184490">
        <w:rPr>
          <w:rFonts w:ascii="Times New Roman" w:eastAsia="Times New Roman" w:hAnsi="Times New Roman" w:cs="Times New Roman"/>
          <w:color w:val="000000" w:themeColor="text1"/>
          <w:sz w:val="24"/>
          <w:szCs w:val="24"/>
        </w:rPr>
        <w:t xml:space="preserve"> </w:t>
      </w:r>
      <w:r w:rsidR="00A34542" w:rsidRPr="00184490">
        <w:rPr>
          <w:rFonts w:ascii="Times New Roman" w:eastAsia="Times New Roman" w:hAnsi="Times New Roman" w:cs="Times New Roman"/>
          <w:color w:val="000000" w:themeColor="text1"/>
          <w:sz w:val="24"/>
          <w:szCs w:val="24"/>
        </w:rPr>
        <w:t xml:space="preserve">pay over $642 million to settle allegations that </w:t>
      </w:r>
      <w:r w:rsidR="00174A64">
        <w:rPr>
          <w:rFonts w:ascii="Times New Roman" w:eastAsia="Times New Roman" w:hAnsi="Times New Roman" w:cs="Times New Roman"/>
          <w:color w:val="000000" w:themeColor="text1"/>
          <w:sz w:val="24"/>
          <w:szCs w:val="24"/>
        </w:rPr>
        <w:t>it</w:t>
      </w:r>
      <w:r w:rsidR="00A34542" w:rsidRPr="00184490">
        <w:rPr>
          <w:rFonts w:ascii="Times New Roman" w:eastAsia="Times New Roman" w:hAnsi="Times New Roman" w:cs="Times New Roman"/>
          <w:color w:val="000000" w:themeColor="text1"/>
          <w:sz w:val="24"/>
          <w:szCs w:val="24"/>
        </w:rPr>
        <w:t xml:space="preserve"> 1)</w:t>
      </w:r>
      <w:r w:rsidR="00571BB8" w:rsidRPr="00184490">
        <w:rPr>
          <w:rFonts w:ascii="Times New Roman" w:eastAsia="Times New Roman" w:hAnsi="Times New Roman" w:cs="Times New Roman"/>
          <w:color w:val="000000" w:themeColor="text1"/>
          <w:sz w:val="24"/>
          <w:szCs w:val="24"/>
        </w:rPr>
        <w:t xml:space="preserve"> </w:t>
      </w:r>
      <w:r w:rsidR="00CD377E">
        <w:rPr>
          <w:rFonts w:ascii="Times New Roman" w:eastAsia="Times New Roman" w:hAnsi="Times New Roman" w:cs="Times New Roman"/>
          <w:color w:val="000000" w:themeColor="text1"/>
          <w:sz w:val="24"/>
          <w:szCs w:val="24"/>
        </w:rPr>
        <w:t>used</w:t>
      </w:r>
      <w:r w:rsidR="00CD377E" w:rsidRPr="00184490">
        <w:rPr>
          <w:rFonts w:ascii="Times New Roman" w:eastAsia="Times New Roman" w:hAnsi="Times New Roman" w:cs="Times New Roman"/>
          <w:color w:val="000000" w:themeColor="text1"/>
          <w:sz w:val="24"/>
          <w:szCs w:val="24"/>
        </w:rPr>
        <w:t xml:space="preserve"> </w:t>
      </w:r>
      <w:r w:rsidR="00CD377E">
        <w:rPr>
          <w:rFonts w:ascii="Times New Roman" w:eastAsia="Times New Roman" w:hAnsi="Times New Roman" w:cs="Times New Roman"/>
          <w:color w:val="000000" w:themeColor="text1"/>
          <w:sz w:val="24"/>
          <w:szCs w:val="24"/>
        </w:rPr>
        <w:t xml:space="preserve">Patient Assistance Programs to </w:t>
      </w:r>
      <w:r w:rsidR="00BD380C">
        <w:rPr>
          <w:rFonts w:ascii="Times New Roman" w:eastAsia="Times New Roman" w:hAnsi="Times New Roman" w:cs="Times New Roman"/>
          <w:color w:val="000000" w:themeColor="text1"/>
          <w:sz w:val="24"/>
          <w:szCs w:val="24"/>
        </w:rPr>
        <w:t xml:space="preserve">pay </w:t>
      </w:r>
      <w:r w:rsidR="00571BB8" w:rsidRPr="00184490">
        <w:rPr>
          <w:rFonts w:ascii="Times New Roman" w:eastAsia="Times New Roman" w:hAnsi="Times New Roman" w:cs="Times New Roman"/>
          <w:color w:val="000000" w:themeColor="text1"/>
          <w:sz w:val="24"/>
          <w:szCs w:val="24"/>
        </w:rPr>
        <w:t>co-pay</w:t>
      </w:r>
      <w:r w:rsidR="00BD380C">
        <w:rPr>
          <w:rFonts w:ascii="Times New Roman" w:eastAsia="Times New Roman" w:hAnsi="Times New Roman" w:cs="Times New Roman"/>
          <w:color w:val="000000" w:themeColor="text1"/>
          <w:sz w:val="24"/>
          <w:szCs w:val="24"/>
        </w:rPr>
        <w:t xml:space="preserve">s for patients using government healthcare plans, which </w:t>
      </w:r>
      <w:r w:rsidR="00571BB8" w:rsidRPr="00184490">
        <w:rPr>
          <w:rFonts w:ascii="Times New Roman" w:eastAsia="Times New Roman" w:hAnsi="Times New Roman" w:cs="Times New Roman"/>
          <w:color w:val="000000" w:themeColor="text1"/>
          <w:sz w:val="24"/>
          <w:szCs w:val="24"/>
        </w:rPr>
        <w:t>“subsidize</w:t>
      </w:r>
      <w:r w:rsidR="00AF007E" w:rsidRPr="00184490">
        <w:rPr>
          <w:rFonts w:ascii="Times New Roman" w:eastAsia="Times New Roman" w:hAnsi="Times New Roman" w:cs="Times New Roman"/>
          <w:color w:val="000000" w:themeColor="text1"/>
          <w:sz w:val="24"/>
          <w:szCs w:val="24"/>
        </w:rPr>
        <w:t>d</w:t>
      </w:r>
      <w:r w:rsidR="00571BB8" w:rsidRPr="00184490">
        <w:rPr>
          <w:rFonts w:ascii="Times New Roman" w:eastAsia="Times New Roman" w:hAnsi="Times New Roman" w:cs="Times New Roman"/>
          <w:color w:val="000000" w:themeColor="text1"/>
          <w:sz w:val="24"/>
          <w:szCs w:val="24"/>
        </w:rPr>
        <w:t xml:space="preserve"> the </w:t>
      </w:r>
      <w:r w:rsidR="00AF007E" w:rsidRPr="00184490">
        <w:rPr>
          <w:rFonts w:ascii="Times New Roman" w:eastAsia="Times New Roman" w:hAnsi="Times New Roman" w:cs="Times New Roman"/>
          <w:color w:val="000000" w:themeColor="text1"/>
          <w:sz w:val="24"/>
          <w:szCs w:val="24"/>
        </w:rPr>
        <w:t xml:space="preserve">high price of Novartis’s drugs </w:t>
      </w:r>
      <w:r w:rsidR="00AF007E" w:rsidRPr="00184490">
        <w:rPr>
          <w:rFonts w:ascii="Times New Roman" w:eastAsia="Times New Roman" w:hAnsi="Times New Roman" w:cs="Times New Roman"/>
          <w:color w:val="000000" w:themeColor="text1"/>
          <w:sz w:val="24"/>
          <w:szCs w:val="24"/>
          <w:lang w:val="en-US"/>
        </w:rPr>
        <w:t>at the expense of American taxpayers</w:t>
      </w:r>
      <w:r w:rsidR="00AF007E" w:rsidRPr="00184490">
        <w:rPr>
          <w:rFonts w:ascii="Times New Roman" w:eastAsia="Times New Roman" w:hAnsi="Times New Roman" w:cs="Times New Roman"/>
          <w:color w:val="000000" w:themeColor="text1"/>
          <w:sz w:val="24"/>
          <w:szCs w:val="24"/>
        </w:rPr>
        <w:t>”</w:t>
      </w:r>
      <w:r w:rsidR="00AF007E" w:rsidRPr="00184490">
        <w:rPr>
          <w:rStyle w:val="FootnoteReference"/>
          <w:rFonts w:ascii="Times New Roman" w:eastAsia="Times New Roman" w:hAnsi="Times New Roman" w:cs="Times New Roman"/>
          <w:color w:val="000000" w:themeColor="text1"/>
          <w:sz w:val="24"/>
          <w:szCs w:val="24"/>
        </w:rPr>
        <w:footnoteReference w:id="35"/>
      </w:r>
      <w:r w:rsidR="00AF007E" w:rsidRPr="00184490">
        <w:rPr>
          <w:rFonts w:ascii="Times New Roman" w:eastAsia="Times New Roman" w:hAnsi="Times New Roman" w:cs="Times New Roman"/>
          <w:color w:val="000000" w:themeColor="text1"/>
          <w:sz w:val="24"/>
          <w:szCs w:val="24"/>
        </w:rPr>
        <w:t xml:space="preserve"> and 2)</w:t>
      </w:r>
      <w:r w:rsidR="00184490" w:rsidRPr="00184490">
        <w:rPr>
          <w:rFonts w:ascii="Times New Roman" w:eastAsia="Times New Roman" w:hAnsi="Times New Roman" w:cs="Times New Roman"/>
          <w:color w:val="000000" w:themeColor="text1"/>
          <w:sz w:val="24"/>
          <w:szCs w:val="24"/>
        </w:rPr>
        <w:t xml:space="preserve"> </w:t>
      </w:r>
      <w:r w:rsidR="00BD380C">
        <w:rPr>
          <w:rFonts w:ascii="Times New Roman" w:eastAsia="Times New Roman" w:hAnsi="Times New Roman" w:cs="Times New Roman"/>
          <w:color w:val="000000" w:themeColor="text1"/>
          <w:sz w:val="24"/>
          <w:szCs w:val="24"/>
        </w:rPr>
        <w:t>engaged</w:t>
      </w:r>
      <w:r w:rsidR="00184490" w:rsidRPr="00184490">
        <w:rPr>
          <w:rFonts w:ascii="Times New Roman" w:eastAsia="Times New Roman" w:hAnsi="Times New Roman" w:cs="Times New Roman"/>
          <w:color w:val="000000" w:themeColor="text1"/>
          <w:sz w:val="24"/>
          <w:szCs w:val="24"/>
        </w:rPr>
        <w:t xml:space="preserve"> in a kickback scheme to induce doctors to prescribe Novartis drugs. There is a current case pending in the Southern District of New York </w:t>
      </w:r>
      <w:r w:rsidR="00BD380C">
        <w:rPr>
          <w:rFonts w:ascii="Times New Roman" w:eastAsia="Times New Roman" w:hAnsi="Times New Roman" w:cs="Times New Roman"/>
          <w:color w:val="000000" w:themeColor="text1"/>
          <w:sz w:val="24"/>
          <w:szCs w:val="24"/>
        </w:rPr>
        <w:t>involving</w:t>
      </w:r>
      <w:r w:rsidR="00BD380C" w:rsidRPr="00184490">
        <w:rPr>
          <w:rFonts w:ascii="Times New Roman" w:eastAsia="Times New Roman" w:hAnsi="Times New Roman" w:cs="Times New Roman"/>
          <w:color w:val="000000" w:themeColor="text1"/>
          <w:sz w:val="24"/>
          <w:szCs w:val="24"/>
        </w:rPr>
        <w:t xml:space="preserve"> </w:t>
      </w:r>
      <w:r w:rsidR="00184490" w:rsidRPr="00184490">
        <w:rPr>
          <w:rFonts w:ascii="Times New Roman" w:eastAsia="Times New Roman" w:hAnsi="Times New Roman" w:cs="Times New Roman"/>
          <w:color w:val="000000" w:themeColor="text1"/>
          <w:sz w:val="24"/>
          <w:szCs w:val="24"/>
        </w:rPr>
        <w:t xml:space="preserve">allegations of Novartis’s practice of hosting </w:t>
      </w:r>
      <w:r w:rsidR="00CF49E8">
        <w:rPr>
          <w:rFonts w:ascii="Times New Roman" w:eastAsia="Times New Roman" w:hAnsi="Times New Roman" w:cs="Times New Roman"/>
          <w:color w:val="000000" w:themeColor="text1"/>
          <w:sz w:val="24"/>
          <w:szCs w:val="24"/>
        </w:rPr>
        <w:t xml:space="preserve">“speaker programs and related events under the guise of providing educational content,” when in reality they were </w:t>
      </w:r>
      <w:r w:rsidR="00BD380C">
        <w:rPr>
          <w:rFonts w:ascii="Times New Roman" w:eastAsia="Times New Roman" w:hAnsi="Times New Roman" w:cs="Times New Roman"/>
          <w:color w:val="000000" w:themeColor="text1"/>
          <w:sz w:val="24"/>
          <w:szCs w:val="24"/>
        </w:rPr>
        <w:t>kickback payments</w:t>
      </w:r>
      <w:r w:rsidR="00CF49E8">
        <w:rPr>
          <w:rFonts w:ascii="Times New Roman" w:eastAsia="Times New Roman" w:hAnsi="Times New Roman" w:cs="Times New Roman"/>
          <w:color w:val="000000" w:themeColor="text1"/>
          <w:sz w:val="24"/>
          <w:szCs w:val="24"/>
        </w:rPr>
        <w:t>.</w:t>
      </w:r>
      <w:r w:rsidR="00CF49E8">
        <w:rPr>
          <w:rStyle w:val="FootnoteReference"/>
          <w:rFonts w:ascii="Times New Roman" w:eastAsia="Times New Roman" w:hAnsi="Times New Roman" w:cs="Times New Roman"/>
          <w:color w:val="000000" w:themeColor="text1"/>
          <w:sz w:val="24"/>
          <w:szCs w:val="24"/>
        </w:rPr>
        <w:footnoteReference w:id="36"/>
      </w:r>
    </w:p>
    <w:p w14:paraId="0B815582" w14:textId="17DA31DA" w:rsidR="00B01382" w:rsidRPr="00184490" w:rsidRDefault="00B01382" w:rsidP="001261E1">
      <w:pPr>
        <w:spacing w:line="480" w:lineRule="auto"/>
        <w:ind w:firstLine="360"/>
        <w:rPr>
          <w:rFonts w:ascii="Times New Roman" w:eastAsia="Times New Roman" w:hAnsi="Times New Roman" w:cs="Times New Roman"/>
          <w:color w:val="000000" w:themeColor="text1"/>
          <w:sz w:val="24"/>
          <w:szCs w:val="24"/>
        </w:rPr>
      </w:pPr>
      <w:r w:rsidRPr="00184490">
        <w:rPr>
          <w:rFonts w:ascii="Times New Roman" w:eastAsia="Times New Roman" w:hAnsi="Times New Roman" w:cs="Times New Roman"/>
          <w:color w:val="000000" w:themeColor="text1"/>
          <w:sz w:val="24"/>
          <w:szCs w:val="24"/>
        </w:rPr>
        <w:t>We will continue to monitor opinions</w:t>
      </w:r>
      <w:r w:rsidR="00184490" w:rsidRPr="00184490">
        <w:rPr>
          <w:rFonts w:ascii="Times New Roman" w:eastAsia="Times New Roman" w:hAnsi="Times New Roman" w:cs="Times New Roman"/>
          <w:color w:val="000000" w:themeColor="text1"/>
          <w:sz w:val="24"/>
          <w:szCs w:val="24"/>
        </w:rPr>
        <w:t xml:space="preserve"> and settlements</w:t>
      </w:r>
      <w:r w:rsidRPr="00184490">
        <w:rPr>
          <w:rFonts w:ascii="Times New Roman" w:eastAsia="Times New Roman" w:hAnsi="Times New Roman" w:cs="Times New Roman"/>
          <w:color w:val="000000" w:themeColor="text1"/>
          <w:sz w:val="24"/>
          <w:szCs w:val="24"/>
        </w:rPr>
        <w:t xml:space="preserve"> regarding the </w:t>
      </w:r>
      <w:r w:rsidR="00BD380C">
        <w:rPr>
          <w:rFonts w:ascii="Times New Roman" w:eastAsia="Times New Roman" w:hAnsi="Times New Roman" w:cs="Times New Roman"/>
          <w:color w:val="000000" w:themeColor="text1"/>
          <w:sz w:val="24"/>
          <w:szCs w:val="24"/>
        </w:rPr>
        <w:t>AKS</w:t>
      </w:r>
      <w:r w:rsidRPr="00184490">
        <w:rPr>
          <w:rFonts w:ascii="Times New Roman" w:eastAsia="Times New Roman" w:hAnsi="Times New Roman" w:cs="Times New Roman"/>
          <w:color w:val="000000" w:themeColor="text1"/>
          <w:sz w:val="24"/>
          <w:szCs w:val="24"/>
        </w:rPr>
        <w:t>.</w:t>
      </w:r>
    </w:p>
    <w:p w14:paraId="784F9FA5" w14:textId="7ADE52D6" w:rsidR="00B01382" w:rsidRPr="001261E1" w:rsidRDefault="00B01382" w:rsidP="00394636">
      <w:pPr>
        <w:pStyle w:val="Heading1"/>
        <w:numPr>
          <w:ilvl w:val="0"/>
          <w:numId w:val="1"/>
        </w:numPr>
        <w:spacing w:line="480" w:lineRule="auto"/>
        <w:rPr>
          <w:rFonts w:ascii="Times New Roman" w:hAnsi="Times New Roman" w:cs="Times New Roman"/>
        </w:rPr>
      </w:pPr>
      <w:r w:rsidRPr="001261E1">
        <w:rPr>
          <w:rFonts w:ascii="Times New Roman" w:hAnsi="Times New Roman" w:cs="Times New Roman"/>
        </w:rPr>
        <w:t>Common Defenses</w:t>
      </w:r>
    </w:p>
    <w:p w14:paraId="3035DC28" w14:textId="122DAC00" w:rsidR="00B01382" w:rsidRPr="00394636" w:rsidRDefault="00B01382" w:rsidP="00394636">
      <w:pPr>
        <w:pStyle w:val="Heading2"/>
        <w:numPr>
          <w:ilvl w:val="0"/>
          <w:numId w:val="4"/>
        </w:numPr>
        <w:spacing w:line="480" w:lineRule="auto"/>
        <w:rPr>
          <w:rFonts w:ascii="Times New Roman" w:hAnsi="Times New Roman" w:cs="Times New Roman"/>
          <w:b/>
        </w:rPr>
      </w:pPr>
      <w:r w:rsidRPr="00394636">
        <w:rPr>
          <w:rFonts w:ascii="Times New Roman" w:hAnsi="Times New Roman" w:cs="Times New Roman"/>
          <w:b/>
        </w:rPr>
        <w:t>Materiality</w:t>
      </w:r>
    </w:p>
    <w:p w14:paraId="7AE7EE27" w14:textId="71C0555F" w:rsidR="00B01382" w:rsidRDefault="00B01382" w:rsidP="001261E1">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included a flurry of opinions </w:t>
      </w:r>
      <w:r w:rsidR="00C17B31">
        <w:rPr>
          <w:rFonts w:ascii="Times New Roman" w:eastAsia="Times New Roman" w:hAnsi="Times New Roman" w:cs="Times New Roman"/>
          <w:sz w:val="24"/>
          <w:szCs w:val="24"/>
        </w:rPr>
        <w:t>regarding</w:t>
      </w:r>
      <w:r>
        <w:rPr>
          <w:rFonts w:ascii="Times New Roman" w:eastAsia="Times New Roman" w:hAnsi="Times New Roman" w:cs="Times New Roman"/>
          <w:sz w:val="24"/>
          <w:szCs w:val="24"/>
        </w:rPr>
        <w:t xml:space="preserve"> the materiality </w:t>
      </w:r>
      <w:r w:rsidR="00BD380C">
        <w:rPr>
          <w:rFonts w:ascii="Times New Roman" w:eastAsia="Times New Roman" w:hAnsi="Times New Roman" w:cs="Times New Roman"/>
          <w:sz w:val="24"/>
          <w:szCs w:val="24"/>
        </w:rPr>
        <w:t xml:space="preserve">requirements </w:t>
      </w:r>
      <w:r>
        <w:rPr>
          <w:rFonts w:ascii="Times New Roman" w:eastAsia="Times New Roman" w:hAnsi="Times New Roman" w:cs="Times New Roman"/>
          <w:sz w:val="24"/>
          <w:szCs w:val="24"/>
        </w:rPr>
        <w:t xml:space="preserve">of the </w:t>
      </w:r>
      <w:r w:rsidR="00BD380C">
        <w:rPr>
          <w:rFonts w:ascii="Times New Roman" w:eastAsia="Times New Roman" w:hAnsi="Times New Roman" w:cs="Times New Roman"/>
          <w:sz w:val="24"/>
          <w:szCs w:val="24"/>
        </w:rPr>
        <w:t>FCA</w:t>
      </w:r>
      <w:r>
        <w:rPr>
          <w:rFonts w:ascii="Times New Roman" w:eastAsia="Times New Roman" w:hAnsi="Times New Roman" w:cs="Times New Roman"/>
          <w:sz w:val="24"/>
          <w:szCs w:val="24"/>
        </w:rPr>
        <w:t xml:space="preserve">. In 2016, the Supreme Court’s decision in </w:t>
      </w:r>
      <w:r>
        <w:rPr>
          <w:rFonts w:ascii="Times New Roman" w:eastAsia="Times New Roman" w:hAnsi="Times New Roman" w:cs="Times New Roman"/>
          <w:i/>
          <w:sz w:val="24"/>
          <w:szCs w:val="24"/>
        </w:rPr>
        <w:t xml:space="preserve">Universal Health Services, Inc. v. United States ex. rel. </w:t>
      </w:r>
      <w:r>
        <w:rPr>
          <w:rFonts w:ascii="Times New Roman" w:eastAsia="Times New Roman" w:hAnsi="Times New Roman" w:cs="Times New Roman"/>
          <w:i/>
          <w:sz w:val="24"/>
          <w:szCs w:val="24"/>
        </w:rPr>
        <w:lastRenderedPageBreak/>
        <w:t>Escobar</w:t>
      </w:r>
      <w:r>
        <w:rPr>
          <w:rFonts w:ascii="Times New Roman" w:eastAsia="Times New Roman" w:hAnsi="Times New Roman" w:cs="Times New Roman"/>
          <w:sz w:val="24"/>
          <w:szCs w:val="24"/>
        </w:rPr>
        <w:t>,</w:t>
      </w:r>
      <w:r w:rsidR="005D21A0">
        <w:rPr>
          <w:rStyle w:val="FootnoteReference"/>
          <w:rFonts w:ascii="Times New Roman" w:eastAsia="Times New Roman" w:hAnsi="Times New Roman" w:cs="Times New Roman"/>
          <w:sz w:val="24"/>
          <w:szCs w:val="24"/>
        </w:rPr>
        <w:footnoteReference w:id="37"/>
      </w:r>
      <w:r w:rsidR="00C17B31">
        <w:rPr>
          <w:rFonts w:ascii="Times New Roman" w:eastAsia="Times New Roman" w:hAnsi="Times New Roman" w:cs="Times New Roman"/>
          <w:sz w:val="24"/>
          <w:szCs w:val="24"/>
        </w:rPr>
        <w:t xml:space="preserve"> clarified</w:t>
      </w:r>
      <w:r>
        <w:rPr>
          <w:rFonts w:ascii="Times New Roman" w:eastAsia="Times New Roman" w:hAnsi="Times New Roman" w:cs="Times New Roman"/>
          <w:sz w:val="24"/>
          <w:szCs w:val="24"/>
        </w:rPr>
        <w:t xml:space="preserve"> that “implied false certification theory can be a basis for FCA liability,”</w:t>
      </w:r>
      <w:r>
        <w:rPr>
          <w:rFonts w:ascii="Times New Roman" w:eastAsia="Times New Roman" w:hAnsi="Times New Roman" w:cs="Times New Roman"/>
          <w:sz w:val="24"/>
          <w:szCs w:val="24"/>
          <w:vertAlign w:val="superscript"/>
        </w:rPr>
        <w:footnoteReference w:id="38"/>
      </w:r>
      <w:r w:rsidR="00C17B31">
        <w:rPr>
          <w:rFonts w:ascii="Times New Roman" w:eastAsia="Times New Roman" w:hAnsi="Times New Roman" w:cs="Times New Roman"/>
          <w:sz w:val="24"/>
          <w:szCs w:val="24"/>
        </w:rPr>
        <w:t xml:space="preserve"> while at the same time </w:t>
      </w:r>
      <w:r w:rsidR="00BD380C">
        <w:rPr>
          <w:rFonts w:ascii="Times New Roman" w:eastAsia="Times New Roman" w:hAnsi="Times New Roman" w:cs="Times New Roman"/>
          <w:sz w:val="24"/>
          <w:szCs w:val="24"/>
        </w:rPr>
        <w:t xml:space="preserve">underscoring </w:t>
      </w:r>
      <w:r>
        <w:rPr>
          <w:rFonts w:ascii="Times New Roman" w:eastAsia="Times New Roman" w:hAnsi="Times New Roman" w:cs="Times New Roman"/>
          <w:sz w:val="24"/>
          <w:szCs w:val="24"/>
        </w:rPr>
        <w:t>that the “materiality standard is demanding,”</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noting that “a misrepresentation cannot be deemed material merely because the Government designates compliance with a particular requirement as a condition of payment. Nor is the Government</w:t>
      </w:r>
      <w:r w:rsidR="00BD380C">
        <w:rPr>
          <w:rFonts w:ascii="Times New Roman" w:eastAsia="Times New Roman" w:hAnsi="Times New Roman" w:cs="Times New Roman"/>
          <w:sz w:val="24"/>
          <w:szCs w:val="24"/>
        </w:rPr>
        <w:t>’</w:t>
      </w:r>
      <w:r>
        <w:rPr>
          <w:rFonts w:ascii="Times New Roman" w:eastAsia="Times New Roman" w:hAnsi="Times New Roman" w:cs="Times New Roman"/>
          <w:sz w:val="24"/>
          <w:szCs w:val="24"/>
        </w:rPr>
        <w:t>s option to decline to pay if it knew of the defendant</w:t>
      </w:r>
      <w:r w:rsidR="00BD380C">
        <w:rPr>
          <w:rFonts w:ascii="Times New Roman" w:eastAsia="Times New Roman" w:hAnsi="Times New Roman" w:cs="Times New Roman"/>
          <w:sz w:val="24"/>
          <w:szCs w:val="24"/>
        </w:rPr>
        <w:t>’</w:t>
      </w:r>
      <w:r>
        <w:rPr>
          <w:rFonts w:ascii="Times New Roman" w:eastAsia="Times New Roman" w:hAnsi="Times New Roman" w:cs="Times New Roman"/>
          <w:sz w:val="24"/>
          <w:szCs w:val="24"/>
        </w:rPr>
        <w:t>s noncompliance sufficient for a finding of materiality.”</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In </w:t>
      </w:r>
      <w:r w:rsidR="00BD380C">
        <w:rPr>
          <w:rFonts w:ascii="Times New Roman" w:eastAsia="Times New Roman" w:hAnsi="Times New Roman" w:cs="Times New Roman"/>
          <w:i/>
          <w:sz w:val="24"/>
          <w:szCs w:val="24"/>
        </w:rPr>
        <w:t xml:space="preserve">United States ex rel. </w:t>
      </w:r>
      <w:r>
        <w:rPr>
          <w:rFonts w:ascii="Times New Roman" w:eastAsia="Times New Roman" w:hAnsi="Times New Roman" w:cs="Times New Roman"/>
          <w:i/>
          <w:sz w:val="24"/>
          <w:szCs w:val="24"/>
        </w:rPr>
        <w:t>Ruckh v. Salus Rehabilitation</w:t>
      </w:r>
      <w:r w:rsidRPr="001261E1">
        <w:rPr>
          <w:rFonts w:ascii="Times New Roman" w:eastAsia="Times New Roman" w:hAnsi="Times New Roman" w:cs="Times New Roman"/>
          <w:sz w:val="24"/>
          <w:szCs w:val="24"/>
          <w:vertAlign w:val="superscript"/>
        </w:rPr>
        <w:footnoteReference w:id="41"/>
      </w:r>
      <w:r w:rsidRPr="00BD38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 xml:space="preserve">United States </w:t>
      </w:r>
      <w:r w:rsidR="00BD380C">
        <w:rPr>
          <w:rFonts w:ascii="Times New Roman" w:eastAsia="Times New Roman" w:hAnsi="Times New Roman" w:cs="Times New Roman"/>
          <w:i/>
          <w:sz w:val="24"/>
          <w:szCs w:val="24"/>
        </w:rPr>
        <w:t xml:space="preserve">ex rel. Bibby </w:t>
      </w:r>
      <w:r>
        <w:rPr>
          <w:rFonts w:ascii="Times New Roman" w:eastAsia="Times New Roman" w:hAnsi="Times New Roman" w:cs="Times New Roman"/>
          <w:i/>
          <w:sz w:val="24"/>
          <w:szCs w:val="24"/>
        </w:rPr>
        <w:t>v. Mortgage Investors Corporation</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w:t>
      </w:r>
      <w:r w:rsidR="00BD380C">
        <w:rPr>
          <w:rFonts w:ascii="Times New Roman" w:eastAsia="Times New Roman" w:hAnsi="Times New Roman" w:cs="Times New Roman"/>
          <w:sz w:val="24"/>
          <w:szCs w:val="24"/>
        </w:rPr>
        <w:t xml:space="preserve">each addressed materiality under </w:t>
      </w:r>
      <w:r w:rsidR="00BD380C" w:rsidRPr="001261E1">
        <w:rPr>
          <w:rFonts w:ascii="Times New Roman" w:eastAsia="Times New Roman" w:hAnsi="Times New Roman" w:cs="Times New Roman"/>
          <w:i/>
          <w:sz w:val="24"/>
          <w:szCs w:val="24"/>
        </w:rPr>
        <w:t>Escobar</w:t>
      </w:r>
      <w:r w:rsidR="00BD380C">
        <w:rPr>
          <w:rFonts w:ascii="Times New Roman" w:eastAsia="Times New Roman" w:hAnsi="Times New Roman" w:cs="Times New Roman"/>
          <w:sz w:val="24"/>
          <w:szCs w:val="24"/>
        </w:rPr>
        <w:t xml:space="preserve">.  </w:t>
      </w:r>
    </w:p>
    <w:p w14:paraId="0704C498" w14:textId="28B734E4" w:rsidR="00B01382" w:rsidRDefault="00B01382" w:rsidP="001261E1">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 xml:space="preserve">Ruckh, </w:t>
      </w:r>
      <w:r>
        <w:rPr>
          <w:rFonts w:ascii="Times New Roman" w:eastAsia="Times New Roman" w:hAnsi="Times New Roman" w:cs="Times New Roman"/>
          <w:sz w:val="24"/>
          <w:szCs w:val="24"/>
        </w:rPr>
        <w:t xml:space="preserve">the relator brought </w:t>
      </w:r>
      <w:r w:rsidRPr="001261E1">
        <w:rPr>
          <w:rFonts w:ascii="Times New Roman" w:eastAsia="Times New Roman" w:hAnsi="Times New Roman" w:cs="Times New Roman"/>
          <w:i/>
          <w:sz w:val="24"/>
          <w:szCs w:val="24"/>
        </w:rPr>
        <w:t>qui tam</w:t>
      </w:r>
      <w:r>
        <w:rPr>
          <w:rFonts w:ascii="Times New Roman" w:eastAsia="Times New Roman" w:hAnsi="Times New Roman" w:cs="Times New Roman"/>
          <w:sz w:val="24"/>
          <w:szCs w:val="24"/>
        </w:rPr>
        <w:t xml:space="preserve"> action against the operators of specialized nursing facilities </w:t>
      </w:r>
      <w:r w:rsidR="00BD380C">
        <w:rPr>
          <w:rFonts w:ascii="Times New Roman" w:eastAsia="Times New Roman" w:hAnsi="Times New Roman" w:cs="Times New Roman"/>
          <w:sz w:val="24"/>
          <w:szCs w:val="24"/>
        </w:rPr>
        <w:t xml:space="preserve">alleging </w:t>
      </w:r>
      <w:r>
        <w:rPr>
          <w:rFonts w:ascii="Times New Roman" w:eastAsia="Times New Roman" w:hAnsi="Times New Roman" w:cs="Times New Roman"/>
          <w:sz w:val="24"/>
          <w:szCs w:val="24"/>
        </w:rPr>
        <w:t xml:space="preserve">that they </w:t>
      </w:r>
      <w:r w:rsidR="00BD380C">
        <w:rPr>
          <w:rFonts w:ascii="Times New Roman" w:eastAsia="Times New Roman" w:hAnsi="Times New Roman" w:cs="Times New Roman"/>
          <w:sz w:val="24"/>
          <w:szCs w:val="24"/>
        </w:rPr>
        <w:t xml:space="preserve">engaged in </w:t>
      </w:r>
      <w:r>
        <w:rPr>
          <w:rFonts w:ascii="Times New Roman" w:eastAsia="Times New Roman" w:hAnsi="Times New Roman" w:cs="Times New Roman"/>
          <w:sz w:val="24"/>
          <w:szCs w:val="24"/>
        </w:rPr>
        <w:t xml:space="preserve">schemes </w:t>
      </w:r>
      <w:r w:rsidR="00BD380C">
        <w:rPr>
          <w:rFonts w:ascii="Times New Roman" w:eastAsia="Times New Roman" w:hAnsi="Times New Roman" w:cs="Times New Roman"/>
          <w:sz w:val="24"/>
          <w:szCs w:val="24"/>
        </w:rPr>
        <w:t xml:space="preserve">involving </w:t>
      </w:r>
      <w:r>
        <w:rPr>
          <w:rFonts w:ascii="Times New Roman" w:eastAsia="Times New Roman" w:hAnsi="Times New Roman" w:cs="Times New Roman"/>
          <w:sz w:val="24"/>
          <w:szCs w:val="24"/>
        </w:rPr>
        <w:t xml:space="preserve">upcoding and ramping </w:t>
      </w:r>
      <w:r w:rsidR="00B453EE">
        <w:rPr>
          <w:rFonts w:ascii="Times New Roman" w:eastAsia="Times New Roman" w:hAnsi="Times New Roman" w:cs="Times New Roman"/>
          <w:sz w:val="24"/>
          <w:szCs w:val="24"/>
        </w:rPr>
        <w:t xml:space="preserve">in order to overcharge Medicare, </w:t>
      </w:r>
      <w:r>
        <w:rPr>
          <w:rFonts w:ascii="Times New Roman" w:eastAsia="Times New Roman" w:hAnsi="Times New Roman" w:cs="Times New Roman"/>
          <w:sz w:val="24"/>
          <w:szCs w:val="24"/>
        </w:rPr>
        <w:t xml:space="preserve">and failed to maintain </w:t>
      </w:r>
      <w:r w:rsidR="00B453EE">
        <w:rPr>
          <w:rFonts w:ascii="Times New Roman" w:eastAsia="Times New Roman" w:hAnsi="Times New Roman" w:cs="Times New Roman"/>
          <w:sz w:val="24"/>
          <w:szCs w:val="24"/>
        </w:rPr>
        <w:t xml:space="preserve">required plans of care in violation of the FCA. </w:t>
      </w:r>
      <w:r>
        <w:rPr>
          <w:rFonts w:ascii="Times New Roman" w:eastAsia="Times New Roman" w:hAnsi="Times New Roman" w:cs="Times New Roman"/>
          <w:sz w:val="24"/>
          <w:szCs w:val="24"/>
        </w:rPr>
        <w:t xml:space="preserve"> After the </w:t>
      </w:r>
      <w:r w:rsidR="00B453EE">
        <w:rPr>
          <w:rFonts w:ascii="Times New Roman" w:eastAsia="Times New Roman" w:hAnsi="Times New Roman" w:cs="Times New Roman"/>
          <w:sz w:val="24"/>
          <w:szCs w:val="24"/>
        </w:rPr>
        <w:t xml:space="preserve">jury returned a verdict in against the defendant, the district court </w:t>
      </w:r>
      <w:r w:rsidR="00B453EE" w:rsidRPr="00B453EE">
        <w:rPr>
          <w:rFonts w:ascii="Times New Roman" w:eastAsia="Times New Roman" w:hAnsi="Times New Roman" w:cs="Times New Roman"/>
          <w:sz w:val="24"/>
          <w:szCs w:val="24"/>
        </w:rPr>
        <w:t>set aside the jury</w:t>
      </w:r>
      <w:r w:rsidR="00B453EE">
        <w:rPr>
          <w:rFonts w:ascii="Times New Roman" w:eastAsia="Times New Roman" w:hAnsi="Times New Roman" w:cs="Times New Roman"/>
          <w:sz w:val="24"/>
          <w:szCs w:val="24"/>
        </w:rPr>
        <w:t>’</w:t>
      </w:r>
      <w:r w:rsidR="00B453EE" w:rsidRPr="00B453EE">
        <w:rPr>
          <w:rFonts w:ascii="Times New Roman" w:eastAsia="Times New Roman" w:hAnsi="Times New Roman" w:cs="Times New Roman"/>
          <w:sz w:val="24"/>
          <w:szCs w:val="24"/>
        </w:rPr>
        <w:t>s verdict as unsupported by the evidence and granted judgment as a matter of law</w:t>
      </w:r>
      <w:r w:rsidR="00B453EE">
        <w:rPr>
          <w:rFonts w:ascii="Times New Roman" w:eastAsia="Times New Roman" w:hAnsi="Times New Roman" w:cs="Times New Roman"/>
          <w:sz w:val="24"/>
          <w:szCs w:val="24"/>
        </w:rPr>
        <w:t>.  The plaintiffs appealed and the Eleventh Circuit reversed the district court’s decision.  With respect to materiality, the circuit court explained</w:t>
      </w:r>
      <w:r>
        <w:rPr>
          <w:rFonts w:ascii="Times New Roman" w:eastAsia="Times New Roman" w:hAnsi="Times New Roman" w:cs="Times New Roman"/>
          <w:sz w:val="24"/>
          <w:szCs w:val="24"/>
        </w:rPr>
        <w:t xml:space="preserve"> that </w:t>
      </w:r>
      <w:r w:rsidR="00B453EE">
        <w:rPr>
          <w:rFonts w:ascii="Times New Roman" w:eastAsia="Times New Roman" w:hAnsi="Times New Roman" w:cs="Times New Roman"/>
          <w:sz w:val="24"/>
          <w:szCs w:val="24"/>
        </w:rPr>
        <w:t>Medicare paying more than they otherwise should have was</w:t>
      </w:r>
      <w:r>
        <w:rPr>
          <w:rFonts w:ascii="Times New Roman" w:eastAsia="Times New Roman" w:hAnsi="Times New Roman" w:cs="Times New Roman"/>
          <w:sz w:val="24"/>
          <w:szCs w:val="24"/>
        </w:rPr>
        <w:t xml:space="preserve"> “plain and obvious materiality went to the heart of the </w:t>
      </w:r>
      <w:r w:rsidR="00B453EE">
        <w:rPr>
          <w:rFonts w:ascii="Times New Roman" w:eastAsia="Times New Roman" w:hAnsi="Times New Roman" w:cs="Times New Roman"/>
          <w:sz w:val="24"/>
          <w:szCs w:val="24"/>
        </w:rPr>
        <w:t>[defendants’]</w:t>
      </w:r>
      <w:r>
        <w:rPr>
          <w:rFonts w:ascii="Times New Roman" w:eastAsia="Times New Roman" w:hAnsi="Times New Roman" w:cs="Times New Roman"/>
          <w:sz w:val="24"/>
          <w:szCs w:val="24"/>
        </w:rPr>
        <w:t xml:space="preserve"> ability to obtain reimbursement from Medicare.”</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Similarly, their ramping scheme “</w:t>
      </w:r>
      <w:r w:rsidR="00B453EE">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material, as it directly affects the payments Medicare makes to </w:t>
      </w:r>
      <w:r w:rsidR="00B453EE">
        <w:rPr>
          <w:rFonts w:ascii="Times New Roman" w:eastAsia="Times New Roman" w:hAnsi="Times New Roman" w:cs="Times New Roman"/>
          <w:sz w:val="24"/>
          <w:szCs w:val="24"/>
        </w:rPr>
        <w:t>[the defendants].</w:t>
      </w:r>
      <w:r w:rsidR="00174A64">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xml:space="preserve"> However, </w:t>
      </w:r>
      <w:r w:rsidR="00B453EE">
        <w:rPr>
          <w:rFonts w:ascii="Times New Roman" w:eastAsia="Times New Roman" w:hAnsi="Times New Roman" w:cs="Times New Roman"/>
          <w:sz w:val="24"/>
          <w:szCs w:val="24"/>
        </w:rPr>
        <w:t xml:space="preserve">the court found that the relators failed to show that the failure to maintain plans of care was material, explaining that under </w:t>
      </w:r>
      <w:r>
        <w:rPr>
          <w:rFonts w:ascii="Times New Roman" w:eastAsia="Times New Roman" w:hAnsi="Times New Roman" w:cs="Times New Roman"/>
          <w:i/>
          <w:sz w:val="24"/>
          <w:szCs w:val="24"/>
        </w:rPr>
        <w:t>Escobar</w:t>
      </w:r>
      <w:r w:rsidR="002823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 the Government pays a particular claim in full despite its actual knowledge </w:t>
      </w:r>
      <w:r>
        <w:rPr>
          <w:rFonts w:ascii="Times New Roman" w:eastAsia="Times New Roman" w:hAnsi="Times New Roman" w:cs="Times New Roman"/>
          <w:sz w:val="24"/>
          <w:szCs w:val="24"/>
        </w:rPr>
        <w:lastRenderedPageBreak/>
        <w:t>that certain requirements were violated, that is very strong evidence that those requirements are not material”</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w:t>
      </w:r>
      <w:r w:rsidR="0028232C">
        <w:rPr>
          <w:rFonts w:ascii="Times New Roman" w:eastAsia="Times New Roman" w:hAnsi="Times New Roman" w:cs="Times New Roman"/>
          <w:sz w:val="24"/>
          <w:szCs w:val="24"/>
        </w:rPr>
        <w:t xml:space="preserve">and that the relators failed to present </w:t>
      </w:r>
      <w:r>
        <w:rPr>
          <w:rFonts w:ascii="Times New Roman" w:eastAsia="Times New Roman" w:hAnsi="Times New Roman" w:cs="Times New Roman"/>
          <w:sz w:val="24"/>
          <w:szCs w:val="24"/>
        </w:rPr>
        <w:t xml:space="preserve">evidence that the </w:t>
      </w:r>
      <w:r w:rsidR="0028232C">
        <w:rPr>
          <w:rFonts w:ascii="Times New Roman" w:eastAsia="Times New Roman" w:hAnsi="Times New Roman" w:cs="Times New Roman"/>
          <w:sz w:val="24"/>
          <w:szCs w:val="24"/>
        </w:rPr>
        <w:t xml:space="preserve">government </w:t>
      </w:r>
      <w:r>
        <w:rPr>
          <w:rFonts w:ascii="Times New Roman" w:eastAsia="Times New Roman" w:hAnsi="Times New Roman" w:cs="Times New Roman"/>
          <w:sz w:val="24"/>
          <w:szCs w:val="24"/>
        </w:rPr>
        <w:t xml:space="preserve">declines payment when an </w:t>
      </w:r>
      <w:r w:rsidR="0028232C">
        <w:rPr>
          <w:rFonts w:ascii="Times New Roman" w:eastAsia="Times New Roman" w:hAnsi="Times New Roman" w:cs="Times New Roman"/>
          <w:sz w:val="24"/>
          <w:szCs w:val="24"/>
        </w:rPr>
        <w:t xml:space="preserve">skilled nursing facility </w:t>
      </w:r>
      <w:r>
        <w:rPr>
          <w:rFonts w:ascii="Times New Roman" w:eastAsia="Times New Roman" w:hAnsi="Times New Roman" w:cs="Times New Roman"/>
          <w:sz w:val="24"/>
          <w:szCs w:val="24"/>
        </w:rPr>
        <w:t>fails to comply with the care plans requirement.</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w:t>
      </w:r>
    </w:p>
    <w:p w14:paraId="585A2769" w14:textId="1774C740" w:rsidR="00B344B9" w:rsidRPr="006A3B00" w:rsidRDefault="0028232C" w:rsidP="001261E1">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Pr="001261E1">
        <w:rPr>
          <w:rFonts w:ascii="Times New Roman" w:eastAsia="Times New Roman" w:hAnsi="Times New Roman" w:cs="Times New Roman"/>
          <w:i/>
          <w:sz w:val="24"/>
          <w:szCs w:val="24"/>
        </w:rPr>
        <w:t>Bibby</w:t>
      </w:r>
      <w:r>
        <w:rPr>
          <w:rFonts w:ascii="Times New Roman" w:eastAsia="Times New Roman" w:hAnsi="Times New Roman" w:cs="Times New Roman"/>
          <w:sz w:val="24"/>
          <w:szCs w:val="24"/>
        </w:rPr>
        <w:t>,</w:t>
      </w:r>
      <w:r w:rsidR="00B01382" w:rsidRPr="001261E1">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the </w:t>
      </w:r>
      <w:r w:rsidR="00B01382">
        <w:rPr>
          <w:rFonts w:ascii="Times New Roman" w:eastAsia="Times New Roman" w:hAnsi="Times New Roman" w:cs="Times New Roman"/>
          <w:sz w:val="24"/>
          <w:szCs w:val="24"/>
        </w:rPr>
        <w:t>relators brought</w:t>
      </w:r>
      <w:r>
        <w:rPr>
          <w:rFonts w:ascii="Times New Roman" w:eastAsia="Times New Roman" w:hAnsi="Times New Roman" w:cs="Times New Roman"/>
          <w:sz w:val="24"/>
          <w:szCs w:val="24"/>
        </w:rPr>
        <w:t xml:space="preserve"> a</w:t>
      </w:r>
      <w:r w:rsidR="00B01382">
        <w:rPr>
          <w:rFonts w:ascii="Times New Roman" w:eastAsia="Times New Roman" w:hAnsi="Times New Roman" w:cs="Times New Roman"/>
          <w:sz w:val="24"/>
          <w:szCs w:val="24"/>
        </w:rPr>
        <w:t xml:space="preserve"> </w:t>
      </w:r>
      <w:r w:rsidR="00B01382" w:rsidRPr="001261E1">
        <w:rPr>
          <w:rFonts w:ascii="Times New Roman" w:eastAsia="Times New Roman" w:hAnsi="Times New Roman" w:cs="Times New Roman"/>
          <w:i/>
          <w:sz w:val="24"/>
          <w:szCs w:val="24"/>
        </w:rPr>
        <w:t>qui tam</w:t>
      </w:r>
      <w:r w:rsidR="00B01382">
        <w:rPr>
          <w:rFonts w:ascii="Times New Roman" w:eastAsia="Times New Roman" w:hAnsi="Times New Roman" w:cs="Times New Roman"/>
          <w:sz w:val="24"/>
          <w:szCs w:val="24"/>
        </w:rPr>
        <w:t xml:space="preserve"> action against </w:t>
      </w:r>
      <w:r>
        <w:rPr>
          <w:rFonts w:ascii="Times New Roman" w:eastAsia="Times New Roman" w:hAnsi="Times New Roman" w:cs="Times New Roman"/>
          <w:sz w:val="24"/>
          <w:szCs w:val="24"/>
        </w:rPr>
        <w:t>a mortgage lender</w:t>
      </w:r>
      <w:r w:rsidR="00B01382">
        <w:rPr>
          <w:rFonts w:ascii="Times New Roman" w:eastAsia="Times New Roman" w:hAnsi="Times New Roman" w:cs="Times New Roman"/>
          <w:sz w:val="24"/>
          <w:szCs w:val="24"/>
        </w:rPr>
        <w:t xml:space="preserve"> alleging that it defrauded the Department of Veterans Affairs (VA) </w:t>
      </w:r>
      <w:r w:rsidR="008440D4">
        <w:rPr>
          <w:rFonts w:ascii="Times New Roman" w:eastAsia="Times New Roman" w:hAnsi="Times New Roman" w:cs="Times New Roman"/>
          <w:sz w:val="24"/>
          <w:szCs w:val="24"/>
        </w:rPr>
        <w:t xml:space="preserve">by falsely </w:t>
      </w:r>
      <w:r w:rsidR="00B01382">
        <w:rPr>
          <w:rFonts w:ascii="Times New Roman" w:eastAsia="Times New Roman" w:hAnsi="Times New Roman" w:cs="Times New Roman"/>
          <w:sz w:val="24"/>
          <w:szCs w:val="24"/>
        </w:rPr>
        <w:t xml:space="preserve">certifying that </w:t>
      </w:r>
      <w:r w:rsidR="008440D4">
        <w:rPr>
          <w:rFonts w:ascii="Times New Roman" w:eastAsia="Times New Roman" w:hAnsi="Times New Roman" w:cs="Times New Roman"/>
          <w:sz w:val="24"/>
          <w:szCs w:val="24"/>
        </w:rPr>
        <w:t xml:space="preserve">it did not </w:t>
      </w:r>
      <w:r w:rsidR="00B01382">
        <w:rPr>
          <w:rFonts w:ascii="Times New Roman" w:eastAsia="Times New Roman" w:hAnsi="Times New Roman" w:cs="Times New Roman"/>
          <w:sz w:val="24"/>
          <w:szCs w:val="24"/>
        </w:rPr>
        <w:t>charge</w:t>
      </w:r>
      <w:r w:rsidR="008440D4">
        <w:rPr>
          <w:rFonts w:ascii="Times New Roman" w:eastAsia="Times New Roman" w:hAnsi="Times New Roman" w:cs="Times New Roman"/>
          <w:sz w:val="24"/>
          <w:szCs w:val="24"/>
        </w:rPr>
        <w:t xml:space="preserve"> unallowable</w:t>
      </w:r>
      <w:r w:rsidR="00B01382">
        <w:rPr>
          <w:rFonts w:ascii="Times New Roman" w:eastAsia="Times New Roman" w:hAnsi="Times New Roman" w:cs="Times New Roman"/>
          <w:sz w:val="24"/>
          <w:szCs w:val="24"/>
        </w:rPr>
        <w:t xml:space="preserve"> fees </w:t>
      </w:r>
      <w:r w:rsidR="008440D4">
        <w:rPr>
          <w:rFonts w:ascii="Times New Roman" w:eastAsia="Times New Roman" w:hAnsi="Times New Roman" w:cs="Times New Roman"/>
          <w:sz w:val="24"/>
          <w:szCs w:val="24"/>
        </w:rPr>
        <w:t>to veterans applying for</w:t>
      </w:r>
      <w:r w:rsidR="00B01382">
        <w:rPr>
          <w:rFonts w:ascii="Times New Roman" w:eastAsia="Times New Roman" w:hAnsi="Times New Roman" w:cs="Times New Roman"/>
          <w:sz w:val="24"/>
          <w:szCs w:val="24"/>
        </w:rPr>
        <w:t xml:space="preserve"> VA </w:t>
      </w:r>
      <w:r w:rsidR="008440D4">
        <w:rPr>
          <w:rFonts w:ascii="Times New Roman" w:eastAsia="Times New Roman" w:hAnsi="Times New Roman" w:cs="Times New Roman"/>
          <w:sz w:val="24"/>
          <w:szCs w:val="24"/>
        </w:rPr>
        <w:t xml:space="preserve">mortgage loans, </w:t>
      </w:r>
      <w:r w:rsidR="00B01382">
        <w:rPr>
          <w:rFonts w:ascii="Times New Roman" w:eastAsia="Times New Roman" w:hAnsi="Times New Roman" w:cs="Times New Roman"/>
          <w:sz w:val="24"/>
          <w:szCs w:val="24"/>
        </w:rPr>
        <w:t xml:space="preserve">causing the VA to insure </w:t>
      </w:r>
      <w:r w:rsidR="008440D4">
        <w:rPr>
          <w:rFonts w:ascii="Times New Roman" w:eastAsia="Times New Roman" w:hAnsi="Times New Roman" w:cs="Times New Roman"/>
          <w:sz w:val="24"/>
          <w:szCs w:val="24"/>
        </w:rPr>
        <w:t xml:space="preserve">loans originated by the defendant in violation of the FCA.  </w:t>
      </w:r>
      <w:r w:rsidR="00C17B31">
        <w:rPr>
          <w:rFonts w:ascii="Times New Roman" w:eastAsia="Times New Roman" w:hAnsi="Times New Roman" w:cs="Times New Roman"/>
          <w:sz w:val="24"/>
          <w:szCs w:val="24"/>
        </w:rPr>
        <w:t>The district court</w:t>
      </w:r>
      <w:r w:rsidR="00B01382">
        <w:rPr>
          <w:rFonts w:ascii="Times New Roman" w:eastAsia="Times New Roman" w:hAnsi="Times New Roman" w:cs="Times New Roman"/>
          <w:sz w:val="24"/>
          <w:szCs w:val="24"/>
        </w:rPr>
        <w:t xml:space="preserve"> granted </w:t>
      </w:r>
      <w:r w:rsidR="008440D4">
        <w:rPr>
          <w:rFonts w:ascii="Times New Roman" w:eastAsia="Times New Roman" w:hAnsi="Times New Roman" w:cs="Times New Roman"/>
          <w:sz w:val="24"/>
          <w:szCs w:val="24"/>
        </w:rPr>
        <w:t xml:space="preserve">the defendant’s motion for </w:t>
      </w:r>
      <w:r w:rsidR="00B01382">
        <w:rPr>
          <w:rFonts w:ascii="Times New Roman" w:eastAsia="Times New Roman" w:hAnsi="Times New Roman" w:cs="Times New Roman"/>
          <w:sz w:val="24"/>
          <w:szCs w:val="24"/>
        </w:rPr>
        <w:t xml:space="preserve">summary judgement finding “that no reasonable jury could find </w:t>
      </w:r>
      <w:r w:rsidR="008440D4">
        <w:rPr>
          <w:rFonts w:ascii="Times New Roman" w:eastAsia="Times New Roman" w:hAnsi="Times New Roman" w:cs="Times New Roman"/>
          <w:sz w:val="24"/>
          <w:szCs w:val="24"/>
        </w:rPr>
        <w:t>[the defendant’s]</w:t>
      </w:r>
      <w:r w:rsidR="00B01382">
        <w:rPr>
          <w:rFonts w:ascii="Times New Roman" w:eastAsia="Times New Roman" w:hAnsi="Times New Roman" w:cs="Times New Roman"/>
          <w:sz w:val="24"/>
          <w:szCs w:val="24"/>
        </w:rPr>
        <w:t xml:space="preserve"> alleged fraud was material.”</w:t>
      </w:r>
      <w:r w:rsidR="00B01382">
        <w:rPr>
          <w:rFonts w:ascii="Times New Roman" w:eastAsia="Times New Roman" w:hAnsi="Times New Roman" w:cs="Times New Roman"/>
          <w:sz w:val="24"/>
          <w:szCs w:val="24"/>
          <w:vertAlign w:val="superscript"/>
        </w:rPr>
        <w:footnoteReference w:id="48"/>
      </w:r>
      <w:r w:rsidR="00B01382">
        <w:rPr>
          <w:rFonts w:ascii="Times New Roman" w:eastAsia="Times New Roman" w:hAnsi="Times New Roman" w:cs="Times New Roman"/>
          <w:sz w:val="24"/>
          <w:szCs w:val="24"/>
        </w:rPr>
        <w:t xml:space="preserve"> </w:t>
      </w:r>
      <w:r w:rsidR="008440D4">
        <w:rPr>
          <w:rFonts w:ascii="Times New Roman" w:eastAsia="Times New Roman" w:hAnsi="Times New Roman" w:cs="Times New Roman"/>
          <w:sz w:val="24"/>
          <w:szCs w:val="24"/>
        </w:rPr>
        <w:t xml:space="preserve">The relators appealed to the Eleventh Circuit and the circuit court reversed, </w:t>
      </w:r>
      <w:r w:rsidR="00C17B31">
        <w:rPr>
          <w:rFonts w:ascii="Times New Roman" w:eastAsia="Times New Roman" w:hAnsi="Times New Roman" w:cs="Times New Roman"/>
          <w:sz w:val="24"/>
          <w:szCs w:val="24"/>
        </w:rPr>
        <w:t>finding that “</w:t>
      </w:r>
      <w:r w:rsidR="00B01382">
        <w:rPr>
          <w:rFonts w:ascii="Times New Roman" w:eastAsia="Times New Roman" w:hAnsi="Times New Roman" w:cs="Times New Roman"/>
          <w:sz w:val="24"/>
          <w:szCs w:val="24"/>
        </w:rPr>
        <w:t>genuine issues of material fact remain</w:t>
      </w:r>
      <w:r w:rsidR="008440D4">
        <w:rPr>
          <w:rFonts w:ascii="Times New Roman" w:eastAsia="Times New Roman" w:hAnsi="Times New Roman" w:cs="Times New Roman"/>
          <w:sz w:val="24"/>
          <w:szCs w:val="24"/>
        </w:rPr>
        <w:t>[ed]</w:t>
      </w:r>
      <w:r w:rsidR="00B01382">
        <w:rPr>
          <w:rFonts w:ascii="Times New Roman" w:eastAsia="Times New Roman" w:hAnsi="Times New Roman" w:cs="Times New Roman"/>
          <w:sz w:val="24"/>
          <w:szCs w:val="24"/>
        </w:rPr>
        <w:t xml:space="preserve"> on the element of materiality.”</w:t>
      </w:r>
      <w:r w:rsidR="00B01382">
        <w:rPr>
          <w:rFonts w:ascii="Times New Roman" w:eastAsia="Times New Roman" w:hAnsi="Times New Roman" w:cs="Times New Roman"/>
          <w:sz w:val="24"/>
          <w:szCs w:val="24"/>
          <w:vertAlign w:val="superscript"/>
        </w:rPr>
        <w:footnoteReference w:id="49"/>
      </w:r>
      <w:r w:rsidR="00B01382">
        <w:rPr>
          <w:rFonts w:ascii="Times New Roman" w:eastAsia="Times New Roman" w:hAnsi="Times New Roman" w:cs="Times New Roman"/>
          <w:sz w:val="24"/>
          <w:szCs w:val="24"/>
        </w:rPr>
        <w:t xml:space="preserve"> </w:t>
      </w:r>
      <w:r w:rsidR="008440D4">
        <w:rPr>
          <w:rFonts w:ascii="Times New Roman" w:eastAsia="Times New Roman" w:hAnsi="Times New Roman" w:cs="Times New Roman"/>
          <w:sz w:val="24"/>
          <w:szCs w:val="24"/>
        </w:rPr>
        <w:t xml:space="preserve">The court explained that </w:t>
      </w:r>
      <w:r w:rsidR="00B01382" w:rsidRPr="001261E1">
        <w:rPr>
          <w:rFonts w:ascii="Times New Roman" w:eastAsia="Times New Roman" w:hAnsi="Times New Roman" w:cs="Times New Roman"/>
          <w:i/>
          <w:sz w:val="24"/>
          <w:szCs w:val="24"/>
        </w:rPr>
        <w:t>Escobar</w:t>
      </w:r>
      <w:r w:rsidR="00B01382">
        <w:rPr>
          <w:rFonts w:ascii="Times New Roman" w:eastAsia="Times New Roman" w:hAnsi="Times New Roman" w:cs="Times New Roman"/>
          <w:sz w:val="24"/>
          <w:szCs w:val="24"/>
        </w:rPr>
        <w:t xml:space="preserve"> </w:t>
      </w:r>
      <w:r w:rsidR="008440D4">
        <w:rPr>
          <w:rFonts w:ascii="Times New Roman" w:eastAsia="Times New Roman" w:hAnsi="Times New Roman" w:cs="Times New Roman"/>
          <w:sz w:val="24"/>
          <w:szCs w:val="24"/>
        </w:rPr>
        <w:t xml:space="preserve">required a </w:t>
      </w:r>
      <w:r w:rsidR="00B01382">
        <w:rPr>
          <w:rFonts w:ascii="Times New Roman" w:eastAsia="Times New Roman" w:hAnsi="Times New Roman" w:cs="Times New Roman"/>
          <w:sz w:val="24"/>
          <w:szCs w:val="24"/>
        </w:rPr>
        <w:t>holistic</w:t>
      </w:r>
      <w:r w:rsidR="008440D4">
        <w:rPr>
          <w:rFonts w:ascii="Times New Roman" w:eastAsia="Times New Roman" w:hAnsi="Times New Roman" w:cs="Times New Roman"/>
          <w:sz w:val="24"/>
          <w:szCs w:val="24"/>
        </w:rPr>
        <w:t xml:space="preserve"> view of materiality, and that the </w:t>
      </w:r>
      <w:r w:rsidR="00B01382">
        <w:rPr>
          <w:rFonts w:ascii="Times New Roman" w:eastAsia="Times New Roman" w:hAnsi="Times New Roman" w:cs="Times New Roman"/>
          <w:sz w:val="24"/>
          <w:szCs w:val="24"/>
        </w:rPr>
        <w:t xml:space="preserve">defendants did not offer “very strong evidence” </w:t>
      </w:r>
      <w:r w:rsidR="00B01382" w:rsidRPr="006A3B00">
        <w:rPr>
          <w:rFonts w:ascii="Times New Roman" w:eastAsia="Times New Roman" w:hAnsi="Times New Roman" w:cs="Times New Roman"/>
          <w:sz w:val="24"/>
          <w:szCs w:val="24"/>
        </w:rPr>
        <w:t>of immateriality</w:t>
      </w:r>
      <w:r w:rsidR="008440D4">
        <w:rPr>
          <w:rFonts w:ascii="Times New Roman" w:eastAsia="Times New Roman" w:hAnsi="Times New Roman" w:cs="Times New Roman"/>
          <w:sz w:val="24"/>
          <w:szCs w:val="24"/>
        </w:rPr>
        <w:t>.  The court explained that even if it “</w:t>
      </w:r>
      <w:r w:rsidR="008440D4" w:rsidRPr="008440D4">
        <w:rPr>
          <w:rFonts w:ascii="Times New Roman" w:eastAsia="Times New Roman" w:hAnsi="Times New Roman" w:cs="Times New Roman"/>
          <w:sz w:val="24"/>
          <w:szCs w:val="24"/>
        </w:rPr>
        <w:t>viewed the VA</w:t>
      </w:r>
      <w:r w:rsidR="008440D4">
        <w:rPr>
          <w:rFonts w:ascii="Times New Roman" w:eastAsia="Times New Roman" w:hAnsi="Times New Roman" w:cs="Times New Roman"/>
          <w:sz w:val="24"/>
          <w:szCs w:val="24"/>
        </w:rPr>
        <w:t>’</w:t>
      </w:r>
      <w:r w:rsidR="008440D4" w:rsidRPr="008440D4">
        <w:rPr>
          <w:rFonts w:ascii="Times New Roman" w:eastAsia="Times New Roman" w:hAnsi="Times New Roman" w:cs="Times New Roman"/>
          <w:sz w:val="24"/>
          <w:szCs w:val="24"/>
        </w:rPr>
        <w:t xml:space="preserve">s continued issuance of guaranties as </w:t>
      </w:r>
      <w:r w:rsidR="008440D4">
        <w:rPr>
          <w:rFonts w:ascii="Times New Roman" w:eastAsia="Times New Roman" w:hAnsi="Times New Roman" w:cs="Times New Roman"/>
          <w:sz w:val="24"/>
          <w:szCs w:val="24"/>
        </w:rPr>
        <w:t>‘</w:t>
      </w:r>
      <w:r w:rsidR="008440D4" w:rsidRPr="008440D4">
        <w:rPr>
          <w:rFonts w:ascii="Times New Roman" w:eastAsia="Times New Roman" w:hAnsi="Times New Roman" w:cs="Times New Roman"/>
          <w:sz w:val="24"/>
          <w:szCs w:val="24"/>
        </w:rPr>
        <w:t>strong evidence</w:t>
      </w:r>
      <w:r w:rsidR="008440D4">
        <w:rPr>
          <w:rFonts w:ascii="Times New Roman" w:eastAsia="Times New Roman" w:hAnsi="Times New Roman" w:cs="Times New Roman"/>
          <w:sz w:val="24"/>
          <w:szCs w:val="24"/>
        </w:rPr>
        <w:t>’</w:t>
      </w:r>
      <w:r w:rsidR="008440D4" w:rsidRPr="008440D4">
        <w:rPr>
          <w:rFonts w:ascii="Times New Roman" w:eastAsia="Times New Roman" w:hAnsi="Times New Roman" w:cs="Times New Roman"/>
          <w:sz w:val="24"/>
          <w:szCs w:val="24"/>
        </w:rPr>
        <w:t xml:space="preserve"> of immateriality, that evidence </w:t>
      </w:r>
      <w:r w:rsidR="008440D4">
        <w:rPr>
          <w:rFonts w:ascii="Times New Roman" w:eastAsia="Times New Roman" w:hAnsi="Times New Roman" w:cs="Times New Roman"/>
          <w:sz w:val="24"/>
          <w:szCs w:val="24"/>
        </w:rPr>
        <w:t>[was]</w:t>
      </w:r>
      <w:r w:rsidR="008440D4" w:rsidRPr="008440D4">
        <w:rPr>
          <w:rFonts w:ascii="Times New Roman" w:eastAsia="Times New Roman" w:hAnsi="Times New Roman" w:cs="Times New Roman"/>
          <w:sz w:val="24"/>
          <w:szCs w:val="24"/>
        </w:rPr>
        <w:t xml:space="preserve"> not unrebutted</w:t>
      </w:r>
      <w:r w:rsidR="008440D4">
        <w:rPr>
          <w:rFonts w:ascii="Times New Roman" w:eastAsia="Times New Roman" w:hAnsi="Times New Roman" w:cs="Times New Roman"/>
          <w:sz w:val="24"/>
          <w:szCs w:val="24"/>
        </w:rPr>
        <w:t>.</w:t>
      </w:r>
      <w:r w:rsidR="00890D9D">
        <w:rPr>
          <w:rFonts w:ascii="Times New Roman" w:eastAsia="Times New Roman" w:hAnsi="Times New Roman" w:cs="Times New Roman"/>
          <w:sz w:val="24"/>
          <w:szCs w:val="24"/>
        </w:rPr>
        <w:t>”</w:t>
      </w:r>
      <w:r w:rsidR="00B01382" w:rsidRPr="006A3B00">
        <w:rPr>
          <w:rFonts w:ascii="Times New Roman" w:eastAsia="Times New Roman" w:hAnsi="Times New Roman" w:cs="Times New Roman"/>
          <w:sz w:val="24"/>
          <w:szCs w:val="24"/>
          <w:vertAlign w:val="superscript"/>
        </w:rPr>
        <w:footnoteReference w:id="50"/>
      </w:r>
    </w:p>
    <w:p w14:paraId="4F171436" w14:textId="2B38A495" w:rsidR="009E58C5" w:rsidRPr="009E58C5" w:rsidRDefault="00B344B9" w:rsidP="001261E1">
      <w:pPr>
        <w:spacing w:line="480" w:lineRule="auto"/>
        <w:ind w:firstLine="360"/>
        <w:rPr>
          <w:rFonts w:ascii="Times New Roman" w:eastAsia="Times New Roman" w:hAnsi="Times New Roman" w:cs="Times New Roman"/>
          <w:sz w:val="24"/>
          <w:szCs w:val="24"/>
          <w:lang w:val="en-US"/>
        </w:rPr>
      </w:pPr>
      <w:r w:rsidRPr="006A3B00">
        <w:rPr>
          <w:rFonts w:ascii="Times New Roman" w:eastAsia="Times New Roman" w:hAnsi="Times New Roman" w:cs="Times New Roman"/>
          <w:sz w:val="24"/>
          <w:szCs w:val="24"/>
        </w:rPr>
        <w:t xml:space="preserve">In another </w:t>
      </w:r>
      <w:r w:rsidR="00FB0688" w:rsidRPr="006A3B00">
        <w:rPr>
          <w:rFonts w:ascii="Times New Roman" w:eastAsia="Times New Roman" w:hAnsi="Times New Roman" w:cs="Times New Roman"/>
          <w:sz w:val="24"/>
          <w:szCs w:val="24"/>
        </w:rPr>
        <w:t xml:space="preserve">important opinion </w:t>
      </w:r>
      <w:r w:rsidR="00890D9D">
        <w:rPr>
          <w:rFonts w:ascii="Times New Roman" w:eastAsia="Times New Roman" w:hAnsi="Times New Roman" w:cs="Times New Roman"/>
          <w:sz w:val="24"/>
          <w:szCs w:val="24"/>
        </w:rPr>
        <w:t>from 2020</w:t>
      </w:r>
      <w:r w:rsidR="00FB0688" w:rsidRPr="006A3B00">
        <w:rPr>
          <w:rFonts w:ascii="Times New Roman" w:eastAsia="Times New Roman" w:hAnsi="Times New Roman" w:cs="Times New Roman"/>
          <w:sz w:val="24"/>
          <w:szCs w:val="24"/>
        </w:rPr>
        <w:t xml:space="preserve">, </w:t>
      </w:r>
      <w:r w:rsidR="00FB0688" w:rsidRPr="006A3B00">
        <w:rPr>
          <w:rFonts w:ascii="Times New Roman" w:eastAsia="Times New Roman" w:hAnsi="Times New Roman" w:cs="Times New Roman"/>
          <w:i/>
          <w:sz w:val="24"/>
          <w:szCs w:val="24"/>
        </w:rPr>
        <w:t>United States v. Strock</w:t>
      </w:r>
      <w:r w:rsidR="00670380">
        <w:rPr>
          <w:rFonts w:ascii="Times New Roman" w:eastAsia="Times New Roman" w:hAnsi="Times New Roman" w:cs="Times New Roman"/>
          <w:sz w:val="24"/>
          <w:szCs w:val="24"/>
        </w:rPr>
        <w:t>,</w:t>
      </w:r>
      <w:r w:rsidR="00FB0688" w:rsidRPr="001261E1">
        <w:rPr>
          <w:rStyle w:val="FootnoteReference"/>
          <w:rFonts w:ascii="Times New Roman" w:eastAsia="Times New Roman" w:hAnsi="Times New Roman" w:cs="Times New Roman"/>
          <w:sz w:val="24"/>
          <w:szCs w:val="24"/>
        </w:rPr>
        <w:footnoteReference w:id="51"/>
      </w:r>
      <w:r w:rsidR="00FB0688" w:rsidRPr="006A3B00">
        <w:rPr>
          <w:rFonts w:ascii="Times New Roman" w:eastAsia="Times New Roman" w:hAnsi="Times New Roman" w:cs="Times New Roman"/>
          <w:sz w:val="24"/>
          <w:szCs w:val="24"/>
        </w:rPr>
        <w:t xml:space="preserve"> the</w:t>
      </w:r>
      <w:r w:rsidRPr="006A3B00">
        <w:rPr>
          <w:rFonts w:ascii="Times New Roman" w:eastAsia="Times New Roman" w:hAnsi="Times New Roman" w:cs="Times New Roman"/>
          <w:sz w:val="24"/>
          <w:szCs w:val="24"/>
        </w:rPr>
        <w:t xml:space="preserve"> </w:t>
      </w:r>
      <w:r w:rsidR="00890D9D">
        <w:rPr>
          <w:rFonts w:ascii="Times New Roman" w:eastAsia="Times New Roman" w:hAnsi="Times New Roman" w:cs="Times New Roman"/>
          <w:sz w:val="24"/>
          <w:szCs w:val="24"/>
        </w:rPr>
        <w:t>Second</w:t>
      </w:r>
      <w:r w:rsidR="00890D9D" w:rsidRPr="006A3B00">
        <w:rPr>
          <w:rFonts w:ascii="Times New Roman" w:eastAsia="Times New Roman" w:hAnsi="Times New Roman" w:cs="Times New Roman"/>
          <w:sz w:val="24"/>
          <w:szCs w:val="24"/>
        </w:rPr>
        <w:t xml:space="preserve"> </w:t>
      </w:r>
      <w:r w:rsidRPr="006A3B00">
        <w:rPr>
          <w:rFonts w:ascii="Times New Roman" w:eastAsia="Times New Roman" w:hAnsi="Times New Roman" w:cs="Times New Roman"/>
          <w:sz w:val="24"/>
          <w:szCs w:val="24"/>
        </w:rPr>
        <w:t>Circuit</w:t>
      </w:r>
      <w:r w:rsidR="00890D9D">
        <w:rPr>
          <w:rFonts w:ascii="Times New Roman" w:eastAsia="Times New Roman" w:hAnsi="Times New Roman" w:cs="Times New Roman"/>
          <w:sz w:val="24"/>
          <w:szCs w:val="24"/>
        </w:rPr>
        <w:t xml:space="preserve"> </w:t>
      </w:r>
      <w:r w:rsidRPr="006A3B00">
        <w:rPr>
          <w:rFonts w:ascii="Times New Roman" w:eastAsia="Times New Roman" w:hAnsi="Times New Roman" w:cs="Times New Roman"/>
          <w:sz w:val="24"/>
          <w:szCs w:val="24"/>
        </w:rPr>
        <w:t xml:space="preserve">reversed in part the </w:t>
      </w:r>
      <w:r w:rsidR="00890D9D">
        <w:rPr>
          <w:rFonts w:ascii="Times New Roman" w:eastAsia="Times New Roman" w:hAnsi="Times New Roman" w:cs="Times New Roman"/>
          <w:sz w:val="24"/>
          <w:szCs w:val="24"/>
        </w:rPr>
        <w:t>district court’s dismiss</w:t>
      </w:r>
      <w:r w:rsidR="00670380">
        <w:rPr>
          <w:rFonts w:ascii="Times New Roman" w:eastAsia="Times New Roman" w:hAnsi="Times New Roman" w:cs="Times New Roman"/>
          <w:sz w:val="24"/>
          <w:szCs w:val="24"/>
        </w:rPr>
        <w:t>al of</w:t>
      </w:r>
      <w:r w:rsidR="00D507B4" w:rsidRPr="006A3B00">
        <w:rPr>
          <w:rFonts w:ascii="Times New Roman" w:eastAsia="Times New Roman" w:hAnsi="Times New Roman" w:cs="Times New Roman"/>
          <w:sz w:val="24"/>
          <w:szCs w:val="24"/>
        </w:rPr>
        <w:t xml:space="preserve"> the government’s action against</w:t>
      </w:r>
      <w:r w:rsidR="008253BD" w:rsidRPr="006A3B00">
        <w:rPr>
          <w:rFonts w:ascii="Times New Roman" w:eastAsia="Times New Roman" w:hAnsi="Times New Roman" w:cs="Times New Roman"/>
          <w:sz w:val="24"/>
          <w:szCs w:val="24"/>
        </w:rPr>
        <w:t xml:space="preserve"> Strock Contracting, Inc</w:t>
      </w:r>
      <w:r w:rsidR="00890D9D">
        <w:rPr>
          <w:rFonts w:ascii="Times New Roman" w:eastAsia="Times New Roman" w:hAnsi="Times New Roman" w:cs="Times New Roman"/>
          <w:sz w:val="24"/>
          <w:szCs w:val="24"/>
        </w:rPr>
        <w:t xml:space="preserve">, its owner, </w:t>
      </w:r>
      <w:r w:rsidR="008253BD" w:rsidRPr="006A3B00">
        <w:rPr>
          <w:rFonts w:ascii="Times New Roman" w:eastAsia="Times New Roman" w:hAnsi="Times New Roman" w:cs="Times New Roman"/>
          <w:sz w:val="24"/>
          <w:szCs w:val="24"/>
        </w:rPr>
        <w:t>Veteran Enterprises Company, Inc. (VECO)</w:t>
      </w:r>
      <w:r w:rsidR="007176E8">
        <w:rPr>
          <w:rFonts w:ascii="Times New Roman" w:eastAsia="Times New Roman" w:hAnsi="Times New Roman" w:cs="Times New Roman"/>
          <w:sz w:val="24"/>
          <w:szCs w:val="24"/>
        </w:rPr>
        <w:t xml:space="preserve">, </w:t>
      </w:r>
      <w:r w:rsidR="00890D9D">
        <w:rPr>
          <w:rFonts w:ascii="Times New Roman" w:eastAsia="Times New Roman" w:hAnsi="Times New Roman" w:cs="Times New Roman"/>
          <w:sz w:val="24"/>
          <w:szCs w:val="24"/>
        </w:rPr>
        <w:t xml:space="preserve">a purportedly service-disabled </w:t>
      </w:r>
      <w:r w:rsidR="008253BD" w:rsidRPr="006A3B00">
        <w:rPr>
          <w:rFonts w:ascii="Times New Roman" w:eastAsia="Times New Roman" w:hAnsi="Times New Roman" w:cs="Times New Roman"/>
          <w:sz w:val="24"/>
          <w:szCs w:val="24"/>
        </w:rPr>
        <w:t>veteran</w:t>
      </w:r>
      <w:r w:rsidR="00890D9D">
        <w:rPr>
          <w:rFonts w:ascii="Times New Roman" w:eastAsia="Times New Roman" w:hAnsi="Times New Roman" w:cs="Times New Roman"/>
          <w:sz w:val="24"/>
          <w:szCs w:val="24"/>
        </w:rPr>
        <w:t xml:space="preserve">-owned business, </w:t>
      </w:r>
      <w:r w:rsidR="007176E8" w:rsidRPr="007176E8">
        <w:rPr>
          <w:rFonts w:ascii="Times New Roman" w:eastAsia="Times New Roman" w:hAnsi="Times New Roman" w:cs="Times New Roman"/>
          <w:sz w:val="24"/>
          <w:szCs w:val="24"/>
        </w:rPr>
        <w:t>and a VECO employee, Terry Anderson</w:t>
      </w:r>
      <w:r w:rsidR="00670380">
        <w:rPr>
          <w:rFonts w:ascii="Times New Roman" w:eastAsia="Times New Roman" w:hAnsi="Times New Roman" w:cs="Times New Roman"/>
          <w:sz w:val="24"/>
          <w:szCs w:val="24"/>
        </w:rPr>
        <w:t>. In this case, the government</w:t>
      </w:r>
      <w:r w:rsidR="007176E8" w:rsidRPr="007176E8">
        <w:rPr>
          <w:rFonts w:ascii="Times New Roman" w:eastAsia="Times New Roman" w:hAnsi="Times New Roman" w:cs="Times New Roman"/>
          <w:sz w:val="24"/>
          <w:szCs w:val="24"/>
        </w:rPr>
        <w:t xml:space="preserve"> </w:t>
      </w:r>
      <w:r w:rsidR="00890D9D">
        <w:rPr>
          <w:rFonts w:ascii="Times New Roman" w:eastAsia="Times New Roman" w:hAnsi="Times New Roman" w:cs="Times New Roman"/>
          <w:sz w:val="24"/>
          <w:szCs w:val="24"/>
        </w:rPr>
        <w:t>alleg</w:t>
      </w:r>
      <w:r w:rsidR="00670380">
        <w:rPr>
          <w:rFonts w:ascii="Times New Roman" w:eastAsia="Times New Roman" w:hAnsi="Times New Roman" w:cs="Times New Roman"/>
          <w:sz w:val="24"/>
          <w:szCs w:val="24"/>
        </w:rPr>
        <w:t>ed</w:t>
      </w:r>
      <w:r w:rsidR="00890D9D">
        <w:rPr>
          <w:rFonts w:ascii="Times New Roman" w:eastAsia="Times New Roman" w:hAnsi="Times New Roman" w:cs="Times New Roman"/>
          <w:sz w:val="24"/>
          <w:szCs w:val="24"/>
        </w:rPr>
        <w:t xml:space="preserve"> that Strock actually owned and operated </w:t>
      </w:r>
      <w:r w:rsidR="007176E8">
        <w:rPr>
          <w:rFonts w:ascii="Times New Roman" w:eastAsia="Times New Roman" w:hAnsi="Times New Roman" w:cs="Times New Roman"/>
          <w:sz w:val="24"/>
          <w:szCs w:val="24"/>
        </w:rPr>
        <w:t>VECO and falsely certified that it was a service-disable veteran-owned business</w:t>
      </w:r>
      <w:r w:rsidR="00490C28">
        <w:rPr>
          <w:rFonts w:ascii="Times New Roman" w:eastAsia="Times New Roman" w:hAnsi="Times New Roman" w:cs="Times New Roman"/>
          <w:sz w:val="24"/>
          <w:szCs w:val="24"/>
        </w:rPr>
        <w:t xml:space="preserve"> in order to receive set aside government contracts </w:t>
      </w:r>
      <w:r w:rsidR="00490C28">
        <w:rPr>
          <w:rFonts w:ascii="Times New Roman" w:eastAsia="Times New Roman" w:hAnsi="Times New Roman" w:cs="Times New Roman"/>
          <w:sz w:val="24"/>
          <w:szCs w:val="24"/>
        </w:rPr>
        <w:lastRenderedPageBreak/>
        <w:t xml:space="preserve">in violation of the FCA. </w:t>
      </w:r>
      <w:r w:rsidR="00FB0688" w:rsidRPr="006A3B00">
        <w:rPr>
          <w:rFonts w:ascii="Times New Roman" w:eastAsia="Times New Roman" w:hAnsi="Times New Roman" w:cs="Times New Roman"/>
          <w:sz w:val="24"/>
          <w:szCs w:val="24"/>
        </w:rPr>
        <w:t xml:space="preserve">The district court </w:t>
      </w:r>
      <w:r w:rsidR="00490C28">
        <w:rPr>
          <w:rFonts w:ascii="Times New Roman" w:eastAsia="Times New Roman" w:hAnsi="Times New Roman" w:cs="Times New Roman"/>
          <w:sz w:val="24"/>
          <w:szCs w:val="24"/>
        </w:rPr>
        <w:t xml:space="preserve">granted the defendants’ motion to </w:t>
      </w:r>
      <w:r w:rsidR="00FB0688" w:rsidRPr="006A3B00">
        <w:rPr>
          <w:rFonts w:ascii="Times New Roman" w:eastAsia="Times New Roman" w:hAnsi="Times New Roman" w:cs="Times New Roman"/>
          <w:sz w:val="24"/>
          <w:szCs w:val="24"/>
        </w:rPr>
        <w:t>dismiss</w:t>
      </w:r>
      <w:r w:rsidR="00490C28">
        <w:rPr>
          <w:rFonts w:ascii="Times New Roman" w:eastAsia="Times New Roman" w:hAnsi="Times New Roman" w:cs="Times New Roman"/>
          <w:sz w:val="24"/>
          <w:szCs w:val="24"/>
        </w:rPr>
        <w:t xml:space="preserve">, finding that the </w:t>
      </w:r>
      <w:r w:rsidR="00FB0688" w:rsidRPr="006A3B00">
        <w:rPr>
          <w:rFonts w:ascii="Times New Roman" w:eastAsia="Times New Roman" w:hAnsi="Times New Roman" w:cs="Times New Roman"/>
          <w:sz w:val="24"/>
          <w:szCs w:val="24"/>
        </w:rPr>
        <w:t>government had not adequately ple</w:t>
      </w:r>
      <w:r w:rsidR="00490C28">
        <w:rPr>
          <w:rFonts w:ascii="Times New Roman" w:eastAsia="Times New Roman" w:hAnsi="Times New Roman" w:cs="Times New Roman"/>
          <w:sz w:val="24"/>
          <w:szCs w:val="24"/>
        </w:rPr>
        <w:t>d materiality.</w:t>
      </w:r>
      <w:r w:rsidR="00FB0688" w:rsidRPr="006A3B00">
        <w:rPr>
          <w:rStyle w:val="FootnoteReference"/>
          <w:rFonts w:ascii="Times New Roman" w:eastAsia="Times New Roman" w:hAnsi="Times New Roman" w:cs="Times New Roman"/>
          <w:sz w:val="24"/>
          <w:szCs w:val="24"/>
        </w:rPr>
        <w:footnoteReference w:id="52"/>
      </w:r>
      <w:r w:rsidR="00FB0688" w:rsidRPr="006A3B00">
        <w:rPr>
          <w:rFonts w:ascii="Times New Roman" w:eastAsia="Times New Roman" w:hAnsi="Times New Roman" w:cs="Times New Roman"/>
          <w:sz w:val="24"/>
          <w:szCs w:val="24"/>
        </w:rPr>
        <w:t xml:space="preserve"> </w:t>
      </w:r>
      <w:r w:rsidR="00490C28">
        <w:rPr>
          <w:rFonts w:ascii="Times New Roman" w:eastAsia="Times New Roman" w:hAnsi="Times New Roman" w:cs="Times New Roman"/>
          <w:sz w:val="24"/>
          <w:szCs w:val="24"/>
        </w:rPr>
        <w:t xml:space="preserve">The government appealed, and the Second Circuit reversed in part, finding </w:t>
      </w:r>
      <w:r w:rsidR="008253BD" w:rsidRPr="006A3B00">
        <w:rPr>
          <w:rFonts w:ascii="Times New Roman" w:eastAsia="Times New Roman" w:hAnsi="Times New Roman" w:cs="Times New Roman"/>
          <w:sz w:val="24"/>
          <w:szCs w:val="24"/>
        </w:rPr>
        <w:t xml:space="preserve">that </w:t>
      </w:r>
      <w:r w:rsidR="00FB0688" w:rsidRPr="006A3B00">
        <w:rPr>
          <w:rFonts w:ascii="Times New Roman" w:eastAsia="Times New Roman" w:hAnsi="Times New Roman" w:cs="Times New Roman"/>
          <w:sz w:val="24"/>
          <w:szCs w:val="24"/>
        </w:rPr>
        <w:t>“</w:t>
      </w:r>
      <w:r w:rsidR="00FB0688" w:rsidRPr="006A3B00">
        <w:rPr>
          <w:rFonts w:ascii="Times New Roman" w:eastAsia="Times New Roman" w:hAnsi="Times New Roman" w:cs="Times New Roman"/>
          <w:sz w:val="24"/>
          <w:szCs w:val="24"/>
          <w:lang w:val="en-US"/>
        </w:rPr>
        <w:t>the district court</w:t>
      </w:r>
      <w:r w:rsidR="00490C28">
        <w:rPr>
          <w:rFonts w:ascii="Times New Roman" w:eastAsia="Times New Roman" w:hAnsi="Times New Roman" w:cs="Times New Roman"/>
          <w:sz w:val="24"/>
          <w:szCs w:val="24"/>
          <w:lang w:val="en-US"/>
        </w:rPr>
        <w:t>’</w:t>
      </w:r>
      <w:r w:rsidR="00FB0688" w:rsidRPr="006A3B00">
        <w:rPr>
          <w:rFonts w:ascii="Times New Roman" w:eastAsia="Times New Roman" w:hAnsi="Times New Roman" w:cs="Times New Roman"/>
          <w:sz w:val="24"/>
          <w:szCs w:val="24"/>
          <w:lang w:val="en-US"/>
        </w:rPr>
        <w:t xml:space="preserve">s conclusion as to materiality relied on an unduly restrictive understanding of the FCA materiality analysis set out in </w:t>
      </w:r>
      <w:r w:rsidR="00FB0688" w:rsidRPr="001261E1">
        <w:rPr>
          <w:rFonts w:ascii="Times New Roman" w:eastAsia="Times New Roman" w:hAnsi="Times New Roman" w:cs="Times New Roman"/>
          <w:i/>
          <w:sz w:val="24"/>
          <w:szCs w:val="24"/>
          <w:lang w:val="en-US"/>
        </w:rPr>
        <w:t>Escobar</w:t>
      </w:r>
      <w:r w:rsidR="00FB0688" w:rsidRPr="006A3B00">
        <w:rPr>
          <w:rFonts w:ascii="Times New Roman" w:eastAsia="Times New Roman" w:hAnsi="Times New Roman" w:cs="Times New Roman"/>
          <w:sz w:val="24"/>
          <w:szCs w:val="24"/>
          <w:lang w:val="en-US"/>
        </w:rPr>
        <w:t>.”</w:t>
      </w:r>
      <w:r w:rsidR="00FB0688" w:rsidRPr="006A3B00">
        <w:rPr>
          <w:rStyle w:val="FootnoteReference"/>
          <w:rFonts w:ascii="Times New Roman" w:eastAsia="Times New Roman" w:hAnsi="Times New Roman" w:cs="Times New Roman"/>
          <w:sz w:val="24"/>
          <w:szCs w:val="24"/>
          <w:lang w:val="en-US"/>
        </w:rPr>
        <w:footnoteReference w:id="53"/>
      </w:r>
      <w:r w:rsidR="00FB0688" w:rsidRPr="006A3B00">
        <w:rPr>
          <w:rFonts w:ascii="Times New Roman" w:eastAsia="Times New Roman" w:hAnsi="Times New Roman" w:cs="Times New Roman"/>
          <w:sz w:val="24"/>
          <w:szCs w:val="24"/>
          <w:lang w:val="en-US"/>
        </w:rPr>
        <w:t xml:space="preserve"> </w:t>
      </w:r>
      <w:r w:rsidR="00490C28">
        <w:rPr>
          <w:rFonts w:ascii="Times New Roman" w:eastAsia="Times New Roman" w:hAnsi="Times New Roman" w:cs="Times New Roman"/>
          <w:sz w:val="24"/>
          <w:szCs w:val="24"/>
          <w:lang w:val="en-US"/>
        </w:rPr>
        <w:t xml:space="preserve"> </w:t>
      </w:r>
      <w:r w:rsidR="001214E0" w:rsidRPr="006A3B00">
        <w:rPr>
          <w:rFonts w:ascii="Times New Roman" w:eastAsia="Times New Roman" w:hAnsi="Times New Roman" w:cs="Times New Roman"/>
          <w:sz w:val="24"/>
          <w:szCs w:val="24"/>
          <w:lang w:val="en-US"/>
        </w:rPr>
        <w:t>Turning to the government’s behavior “post-award” and “pre-award”</w:t>
      </w:r>
      <w:r w:rsidR="001214E0" w:rsidRPr="006A3B00">
        <w:rPr>
          <w:rStyle w:val="FootnoteReference"/>
          <w:rFonts w:ascii="Times New Roman" w:eastAsia="Times New Roman" w:hAnsi="Times New Roman" w:cs="Times New Roman"/>
          <w:sz w:val="24"/>
          <w:szCs w:val="24"/>
          <w:lang w:val="en-US"/>
        </w:rPr>
        <w:footnoteReference w:id="54"/>
      </w:r>
      <w:r w:rsidR="006A3B00">
        <w:rPr>
          <w:rFonts w:ascii="Times New Roman" w:eastAsia="Times New Roman" w:hAnsi="Times New Roman" w:cs="Times New Roman"/>
          <w:sz w:val="24"/>
          <w:szCs w:val="24"/>
          <w:lang w:val="en-US"/>
        </w:rPr>
        <w:t xml:space="preserve"> to examine the government’s decision to pay,</w:t>
      </w:r>
      <w:r w:rsidR="001214E0" w:rsidRPr="006A3B00">
        <w:rPr>
          <w:rFonts w:ascii="Times New Roman" w:eastAsia="Times New Roman" w:hAnsi="Times New Roman" w:cs="Times New Roman"/>
          <w:sz w:val="24"/>
          <w:szCs w:val="24"/>
          <w:lang w:val="en-US"/>
        </w:rPr>
        <w:t xml:space="preserve"> the court found that government’s actions s</w:t>
      </w:r>
      <w:r w:rsidR="006A3B00" w:rsidRPr="006A3B00">
        <w:rPr>
          <w:rFonts w:ascii="Times New Roman" w:eastAsia="Times New Roman" w:hAnsi="Times New Roman" w:cs="Times New Roman"/>
          <w:sz w:val="24"/>
          <w:szCs w:val="24"/>
          <w:lang w:val="en-US"/>
        </w:rPr>
        <w:t>upport</w:t>
      </w:r>
      <w:r w:rsidR="00490C28">
        <w:rPr>
          <w:rFonts w:ascii="Times New Roman" w:eastAsia="Times New Roman" w:hAnsi="Times New Roman" w:cs="Times New Roman"/>
          <w:sz w:val="24"/>
          <w:szCs w:val="24"/>
          <w:lang w:val="en-US"/>
        </w:rPr>
        <w:t>ed</w:t>
      </w:r>
      <w:r w:rsidR="006A3B00" w:rsidRPr="006A3B00">
        <w:rPr>
          <w:rFonts w:ascii="Times New Roman" w:eastAsia="Times New Roman" w:hAnsi="Times New Roman" w:cs="Times New Roman"/>
          <w:sz w:val="24"/>
          <w:szCs w:val="24"/>
          <w:lang w:val="en-US"/>
        </w:rPr>
        <w:t xml:space="preserve"> a finding of materiality. </w:t>
      </w:r>
      <w:r w:rsidR="00490C28">
        <w:rPr>
          <w:rFonts w:ascii="Times New Roman" w:eastAsia="Times New Roman" w:hAnsi="Times New Roman" w:cs="Times New Roman"/>
          <w:sz w:val="24"/>
          <w:szCs w:val="24"/>
          <w:lang w:val="en-US"/>
        </w:rPr>
        <w:t xml:space="preserve">The court explained that pre-award, </w:t>
      </w:r>
      <w:r w:rsidR="006A3B00" w:rsidRPr="006A3B00">
        <w:rPr>
          <w:rFonts w:ascii="Times New Roman" w:eastAsia="Times New Roman" w:hAnsi="Times New Roman" w:cs="Times New Roman"/>
          <w:sz w:val="24"/>
          <w:szCs w:val="24"/>
          <w:lang w:val="en-US"/>
        </w:rPr>
        <w:t xml:space="preserve">the government takes action to root out businesses that are not qualified for contracts before </w:t>
      </w:r>
      <w:r w:rsidR="00490C28">
        <w:rPr>
          <w:rFonts w:ascii="Times New Roman" w:eastAsia="Times New Roman" w:hAnsi="Times New Roman" w:cs="Times New Roman"/>
          <w:sz w:val="24"/>
          <w:szCs w:val="24"/>
          <w:lang w:val="en-US"/>
        </w:rPr>
        <w:t>it</w:t>
      </w:r>
      <w:r w:rsidR="00490C28" w:rsidRPr="006A3B00">
        <w:rPr>
          <w:rFonts w:ascii="Times New Roman" w:eastAsia="Times New Roman" w:hAnsi="Times New Roman" w:cs="Times New Roman"/>
          <w:sz w:val="24"/>
          <w:szCs w:val="24"/>
          <w:lang w:val="en-US"/>
        </w:rPr>
        <w:t xml:space="preserve"> </w:t>
      </w:r>
      <w:r w:rsidR="006A3B00" w:rsidRPr="006A3B00">
        <w:rPr>
          <w:rFonts w:ascii="Times New Roman" w:eastAsia="Times New Roman" w:hAnsi="Times New Roman" w:cs="Times New Roman"/>
          <w:sz w:val="24"/>
          <w:szCs w:val="24"/>
          <w:lang w:val="en-US"/>
        </w:rPr>
        <w:t>award</w:t>
      </w:r>
      <w:r w:rsidR="00490C28">
        <w:rPr>
          <w:rFonts w:ascii="Times New Roman" w:eastAsia="Times New Roman" w:hAnsi="Times New Roman" w:cs="Times New Roman"/>
          <w:sz w:val="24"/>
          <w:szCs w:val="24"/>
          <w:lang w:val="en-US"/>
        </w:rPr>
        <w:t>s</w:t>
      </w:r>
      <w:r w:rsidR="006A3B00" w:rsidRPr="006A3B00">
        <w:rPr>
          <w:rFonts w:ascii="Times New Roman" w:eastAsia="Times New Roman" w:hAnsi="Times New Roman" w:cs="Times New Roman"/>
          <w:sz w:val="24"/>
          <w:szCs w:val="24"/>
          <w:lang w:val="en-US"/>
        </w:rPr>
        <w:t xml:space="preserve"> them, </w:t>
      </w:r>
      <w:r w:rsidR="00490C28">
        <w:rPr>
          <w:rFonts w:ascii="Times New Roman" w:eastAsia="Times New Roman" w:hAnsi="Times New Roman" w:cs="Times New Roman"/>
          <w:sz w:val="24"/>
          <w:szCs w:val="24"/>
          <w:lang w:val="en-US"/>
        </w:rPr>
        <w:t xml:space="preserve">and </w:t>
      </w:r>
      <w:r w:rsidR="001214E0" w:rsidRPr="006A3B00">
        <w:rPr>
          <w:rFonts w:ascii="Times New Roman" w:eastAsia="Times New Roman" w:hAnsi="Times New Roman" w:cs="Times New Roman"/>
          <w:sz w:val="24"/>
          <w:szCs w:val="24"/>
          <w:lang w:val="en-US"/>
        </w:rPr>
        <w:t xml:space="preserve"> “post-award</w:t>
      </w:r>
      <w:r w:rsidR="00490C28">
        <w:rPr>
          <w:rFonts w:ascii="Times New Roman" w:eastAsia="Times New Roman" w:hAnsi="Times New Roman" w:cs="Times New Roman"/>
          <w:sz w:val="24"/>
          <w:szCs w:val="24"/>
          <w:lang w:val="en-US"/>
        </w:rPr>
        <w:t>,</w:t>
      </w:r>
      <w:r w:rsidR="001214E0" w:rsidRPr="006A3B00">
        <w:rPr>
          <w:rFonts w:ascii="Times New Roman" w:eastAsia="Times New Roman" w:hAnsi="Times New Roman" w:cs="Times New Roman"/>
          <w:sz w:val="24"/>
          <w:szCs w:val="24"/>
          <w:lang w:val="en-US"/>
        </w:rPr>
        <w:t>”</w:t>
      </w:r>
      <w:r w:rsidR="006A3B00" w:rsidRPr="006A3B00">
        <w:rPr>
          <w:rFonts w:ascii="Times New Roman" w:eastAsia="Times New Roman" w:hAnsi="Times New Roman" w:cs="Times New Roman"/>
          <w:sz w:val="24"/>
          <w:szCs w:val="24"/>
          <w:lang w:val="en-US"/>
        </w:rPr>
        <w:t xml:space="preserve"> </w:t>
      </w:r>
      <w:r w:rsidR="00490C28">
        <w:rPr>
          <w:rFonts w:ascii="Times New Roman" w:eastAsia="Times New Roman" w:hAnsi="Times New Roman" w:cs="Times New Roman"/>
          <w:sz w:val="24"/>
          <w:szCs w:val="24"/>
          <w:lang w:val="en-US"/>
        </w:rPr>
        <w:t xml:space="preserve">though not as </w:t>
      </w:r>
      <w:r w:rsidR="00D645CF">
        <w:rPr>
          <w:rFonts w:ascii="Times New Roman" w:eastAsia="Times New Roman" w:hAnsi="Times New Roman" w:cs="Times New Roman"/>
          <w:sz w:val="24"/>
          <w:szCs w:val="24"/>
          <w:lang w:val="en-US"/>
        </w:rPr>
        <w:t>strongly supportive of materiality</w:t>
      </w:r>
      <w:r w:rsidR="00D44896">
        <w:rPr>
          <w:rFonts w:ascii="Times New Roman" w:eastAsia="Times New Roman" w:hAnsi="Times New Roman" w:cs="Times New Roman"/>
          <w:sz w:val="24"/>
          <w:szCs w:val="24"/>
          <w:lang w:val="en-US"/>
        </w:rPr>
        <w:t>,</w:t>
      </w:r>
      <w:r w:rsidR="008F1E23">
        <w:rPr>
          <w:rFonts w:ascii="Times New Roman" w:eastAsia="Times New Roman" w:hAnsi="Times New Roman" w:cs="Times New Roman"/>
          <w:sz w:val="24"/>
          <w:szCs w:val="24"/>
          <w:lang w:val="en-US"/>
        </w:rPr>
        <w:t xml:space="preserve"> </w:t>
      </w:r>
      <w:r w:rsidR="00D44896">
        <w:rPr>
          <w:rFonts w:ascii="Times New Roman" w:eastAsia="Times New Roman" w:hAnsi="Times New Roman" w:cs="Times New Roman"/>
          <w:sz w:val="24"/>
          <w:szCs w:val="24"/>
          <w:lang w:val="en-US"/>
        </w:rPr>
        <w:t xml:space="preserve">the </w:t>
      </w:r>
      <w:r w:rsidR="006A3B00" w:rsidRPr="006A3B00">
        <w:rPr>
          <w:rFonts w:ascii="Times New Roman" w:eastAsia="Times New Roman" w:hAnsi="Times New Roman" w:cs="Times New Roman"/>
          <w:sz w:val="24"/>
          <w:szCs w:val="24"/>
          <w:lang w:val="en-US"/>
        </w:rPr>
        <w:t>complaint “alleg</w:t>
      </w:r>
      <w:r w:rsidR="00D44896">
        <w:rPr>
          <w:rFonts w:ascii="Times New Roman" w:eastAsia="Times New Roman" w:hAnsi="Times New Roman" w:cs="Times New Roman"/>
          <w:sz w:val="24"/>
          <w:szCs w:val="24"/>
          <w:lang w:val="en-US"/>
        </w:rPr>
        <w:t>[ed]</w:t>
      </w:r>
      <w:r w:rsidR="006A3B00" w:rsidRPr="006A3B00">
        <w:rPr>
          <w:rFonts w:ascii="Times New Roman" w:eastAsia="Times New Roman" w:hAnsi="Times New Roman" w:cs="Times New Roman"/>
          <w:sz w:val="24"/>
          <w:szCs w:val="24"/>
          <w:lang w:val="en-US"/>
        </w:rPr>
        <w:t xml:space="preserve"> that the contracting officers </w:t>
      </w:r>
      <w:r w:rsidR="006A3B00" w:rsidRPr="009E58C5">
        <w:rPr>
          <w:rFonts w:ascii="Times New Roman" w:eastAsia="Times New Roman" w:hAnsi="Times New Roman" w:cs="Times New Roman"/>
          <w:i/>
          <w:sz w:val="24"/>
          <w:szCs w:val="24"/>
          <w:lang w:val="en-US"/>
        </w:rPr>
        <w:t>might</w:t>
      </w:r>
      <w:r w:rsidR="006A3B00" w:rsidRPr="006A3B00">
        <w:rPr>
          <w:rFonts w:ascii="Times New Roman" w:eastAsia="Times New Roman" w:hAnsi="Times New Roman" w:cs="Times New Roman"/>
          <w:sz w:val="24"/>
          <w:szCs w:val="24"/>
          <w:lang w:val="en-US"/>
        </w:rPr>
        <w:t xml:space="preserve"> have taken steps to cease payments, terminate the contracts, or both had they learned” that the businesses were not qualified.</w:t>
      </w:r>
      <w:r w:rsidR="006A3B00" w:rsidRPr="006A3B00">
        <w:rPr>
          <w:rStyle w:val="FootnoteReference"/>
          <w:rFonts w:ascii="Times New Roman" w:eastAsia="Times New Roman" w:hAnsi="Times New Roman" w:cs="Times New Roman"/>
          <w:sz w:val="24"/>
          <w:szCs w:val="24"/>
          <w:lang w:val="en-US"/>
        </w:rPr>
        <w:footnoteReference w:id="55"/>
      </w:r>
      <w:r w:rsidR="006A3B00" w:rsidRPr="006A3B00">
        <w:rPr>
          <w:rFonts w:ascii="Times New Roman" w:eastAsia="Times New Roman" w:hAnsi="Times New Roman" w:cs="Times New Roman"/>
          <w:sz w:val="24"/>
          <w:szCs w:val="24"/>
          <w:lang w:val="en-US"/>
        </w:rPr>
        <w:t xml:space="preserve"> The court concluded that “given both decisions are part of the government</w:t>
      </w:r>
      <w:r w:rsidR="00D44896">
        <w:rPr>
          <w:rFonts w:ascii="Times New Roman" w:eastAsia="Times New Roman" w:hAnsi="Times New Roman" w:cs="Times New Roman"/>
          <w:sz w:val="24"/>
          <w:szCs w:val="24"/>
          <w:lang w:val="en-US"/>
        </w:rPr>
        <w:t>’</w:t>
      </w:r>
      <w:r w:rsidR="006A3B00" w:rsidRPr="006A3B00">
        <w:rPr>
          <w:rFonts w:ascii="Times New Roman" w:eastAsia="Times New Roman" w:hAnsi="Times New Roman" w:cs="Times New Roman"/>
          <w:sz w:val="24"/>
          <w:szCs w:val="24"/>
          <w:lang w:val="en-US"/>
        </w:rPr>
        <w:t>s ‘payment decision,’ these considerations taken together indicate that this factor supports materiality, if weakly.”</w:t>
      </w:r>
      <w:r w:rsidR="006A3B00" w:rsidRPr="006A3B00">
        <w:rPr>
          <w:rStyle w:val="FootnoteReference"/>
          <w:rFonts w:ascii="Times New Roman" w:eastAsia="Times New Roman" w:hAnsi="Times New Roman" w:cs="Times New Roman"/>
          <w:sz w:val="24"/>
          <w:szCs w:val="24"/>
          <w:lang w:val="en-US"/>
        </w:rPr>
        <w:footnoteReference w:id="56"/>
      </w:r>
    </w:p>
    <w:p w14:paraId="08DD8A4A" w14:textId="0F61E329" w:rsidR="0086393E" w:rsidRPr="00394636" w:rsidRDefault="0086393E" w:rsidP="00394636">
      <w:pPr>
        <w:pStyle w:val="Heading2"/>
        <w:numPr>
          <w:ilvl w:val="0"/>
          <w:numId w:val="4"/>
        </w:numPr>
        <w:spacing w:line="480" w:lineRule="auto"/>
        <w:rPr>
          <w:rFonts w:ascii="Times New Roman" w:hAnsi="Times New Roman" w:cs="Times New Roman"/>
          <w:b/>
        </w:rPr>
      </w:pPr>
      <w:r w:rsidRPr="00394636">
        <w:rPr>
          <w:rFonts w:ascii="Times New Roman" w:hAnsi="Times New Roman" w:cs="Times New Roman"/>
          <w:b/>
        </w:rPr>
        <w:t>Statute of Limitations</w:t>
      </w:r>
    </w:p>
    <w:p w14:paraId="360EE95D" w14:textId="34FC97DB" w:rsidR="0086393E" w:rsidRPr="009E5C72" w:rsidRDefault="0086393E" w:rsidP="008F1E23">
      <w:pPr>
        <w:spacing w:line="480" w:lineRule="auto"/>
        <w:ind w:firstLine="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In April of 2020</w:t>
      </w:r>
      <w:r w:rsidR="006703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w:t>
      </w:r>
      <w:r w:rsidR="00D44896">
        <w:rPr>
          <w:rFonts w:ascii="Times New Roman" w:eastAsia="Times New Roman" w:hAnsi="Times New Roman" w:cs="Times New Roman"/>
          <w:sz w:val="24"/>
          <w:szCs w:val="24"/>
        </w:rPr>
        <w:t xml:space="preserve">Sixth </w:t>
      </w:r>
      <w:r>
        <w:rPr>
          <w:rFonts w:ascii="Times New Roman" w:eastAsia="Times New Roman" w:hAnsi="Times New Roman" w:cs="Times New Roman"/>
          <w:sz w:val="24"/>
          <w:szCs w:val="24"/>
        </w:rPr>
        <w:t xml:space="preserve">Circuit issued an opinion in </w:t>
      </w:r>
      <w:r w:rsidRPr="0086393E">
        <w:rPr>
          <w:rFonts w:ascii="Times New Roman" w:eastAsia="Times New Roman" w:hAnsi="Times New Roman" w:cs="Times New Roman"/>
          <w:i/>
          <w:sz w:val="24"/>
          <w:szCs w:val="24"/>
        </w:rPr>
        <w:t>United States ex. rel. Houpt v. Wells Fargo Bank, N.A</w:t>
      </w:r>
      <w:r>
        <w:rPr>
          <w:rFonts w:ascii="Times New Roman" w:eastAsia="Times New Roman" w:hAnsi="Times New Roman" w:cs="Times New Roman"/>
          <w:i/>
          <w:sz w:val="24"/>
          <w:szCs w:val="24"/>
        </w:rPr>
        <w:t>.</w:t>
      </w:r>
      <w:r w:rsidRPr="001261E1">
        <w:rPr>
          <w:rStyle w:val="FootnoteReference"/>
          <w:rFonts w:ascii="Times New Roman" w:eastAsia="Times New Roman" w:hAnsi="Times New Roman" w:cs="Times New Roman"/>
          <w:sz w:val="24"/>
          <w:szCs w:val="24"/>
        </w:rPr>
        <w:footnoteReference w:id="57"/>
      </w:r>
      <w:r w:rsidRPr="00D44896">
        <w:rPr>
          <w:rFonts w:ascii="Times New Roman" w:eastAsia="Times New Roman" w:hAnsi="Times New Roman" w:cs="Times New Roman"/>
          <w:sz w:val="24"/>
          <w:szCs w:val="24"/>
        </w:rPr>
        <w:t xml:space="preserve"> </w:t>
      </w:r>
      <w:r w:rsidR="00D44896">
        <w:rPr>
          <w:rFonts w:ascii="Times New Roman" w:eastAsia="Times New Roman" w:hAnsi="Times New Roman" w:cs="Times New Roman"/>
          <w:sz w:val="24"/>
          <w:szCs w:val="24"/>
        </w:rPr>
        <w:t xml:space="preserve">involving </w:t>
      </w:r>
      <w:r>
        <w:rPr>
          <w:rFonts w:ascii="Times New Roman" w:eastAsia="Times New Roman" w:hAnsi="Times New Roman" w:cs="Times New Roman"/>
          <w:sz w:val="24"/>
          <w:szCs w:val="24"/>
        </w:rPr>
        <w:t xml:space="preserve">the </w:t>
      </w:r>
      <w:r w:rsidR="00D44896">
        <w:rPr>
          <w:rFonts w:ascii="Times New Roman" w:eastAsia="Times New Roman" w:hAnsi="Times New Roman" w:cs="Times New Roman"/>
          <w:sz w:val="24"/>
          <w:szCs w:val="24"/>
        </w:rPr>
        <w:t>FCA’s</w:t>
      </w:r>
      <w:r>
        <w:rPr>
          <w:rFonts w:ascii="Times New Roman" w:eastAsia="Times New Roman" w:hAnsi="Times New Roman" w:cs="Times New Roman"/>
          <w:sz w:val="24"/>
          <w:szCs w:val="24"/>
        </w:rPr>
        <w:t xml:space="preserve"> statute of limitations. </w:t>
      </w:r>
      <w:r w:rsidR="00D44896">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relator brought </w:t>
      </w:r>
      <w:r w:rsidR="00D44896">
        <w:rPr>
          <w:rFonts w:ascii="Times New Roman" w:eastAsia="Times New Roman" w:hAnsi="Times New Roman" w:cs="Times New Roman"/>
          <w:sz w:val="24"/>
          <w:szCs w:val="24"/>
        </w:rPr>
        <w:t xml:space="preserve">a </w:t>
      </w:r>
      <w:r w:rsidRPr="001261E1">
        <w:rPr>
          <w:rFonts w:ascii="Times New Roman" w:eastAsia="Times New Roman" w:hAnsi="Times New Roman" w:cs="Times New Roman"/>
          <w:i/>
          <w:sz w:val="24"/>
          <w:szCs w:val="24"/>
        </w:rPr>
        <w:t>qui tam</w:t>
      </w:r>
      <w:r>
        <w:rPr>
          <w:rFonts w:ascii="Times New Roman" w:eastAsia="Times New Roman" w:hAnsi="Times New Roman" w:cs="Times New Roman"/>
          <w:sz w:val="24"/>
          <w:szCs w:val="24"/>
        </w:rPr>
        <w:t xml:space="preserve"> action against </w:t>
      </w:r>
      <w:r w:rsidR="009E5C72">
        <w:rPr>
          <w:rFonts w:ascii="Times New Roman" w:eastAsia="Times New Roman" w:hAnsi="Times New Roman" w:cs="Times New Roman"/>
          <w:sz w:val="24"/>
          <w:szCs w:val="24"/>
        </w:rPr>
        <w:t xml:space="preserve">Wells Fargo Bank, alleging that they violated the </w:t>
      </w:r>
      <w:r w:rsidR="00D44896">
        <w:rPr>
          <w:rFonts w:ascii="Times New Roman" w:eastAsia="Times New Roman" w:hAnsi="Times New Roman" w:cs="Times New Roman"/>
          <w:sz w:val="24"/>
          <w:szCs w:val="24"/>
        </w:rPr>
        <w:t>FCA</w:t>
      </w:r>
      <w:r w:rsidR="009E5C72">
        <w:rPr>
          <w:rFonts w:ascii="Times New Roman" w:eastAsia="Times New Roman" w:hAnsi="Times New Roman" w:cs="Times New Roman"/>
          <w:sz w:val="24"/>
          <w:szCs w:val="24"/>
        </w:rPr>
        <w:t xml:space="preserve"> by submitting false statements and certifications to the Small Business Association</w:t>
      </w:r>
      <w:r w:rsidR="00D44896">
        <w:rPr>
          <w:rFonts w:ascii="Times New Roman" w:eastAsia="Times New Roman" w:hAnsi="Times New Roman" w:cs="Times New Roman"/>
          <w:sz w:val="24"/>
          <w:szCs w:val="24"/>
        </w:rPr>
        <w:t xml:space="preserve"> (SBA)</w:t>
      </w:r>
      <w:r w:rsidR="009E5C72">
        <w:rPr>
          <w:rFonts w:ascii="Times New Roman" w:eastAsia="Times New Roman" w:hAnsi="Times New Roman" w:cs="Times New Roman"/>
          <w:sz w:val="24"/>
          <w:szCs w:val="24"/>
        </w:rPr>
        <w:t>.</w:t>
      </w:r>
      <w:r w:rsidR="009E5C72">
        <w:rPr>
          <w:rStyle w:val="FootnoteReference"/>
          <w:rFonts w:ascii="Times New Roman" w:eastAsia="Times New Roman" w:hAnsi="Times New Roman" w:cs="Times New Roman"/>
          <w:sz w:val="24"/>
          <w:szCs w:val="24"/>
        </w:rPr>
        <w:footnoteReference w:id="58"/>
      </w:r>
      <w:r w:rsidR="009E5C72">
        <w:rPr>
          <w:rFonts w:ascii="Times New Roman" w:eastAsia="Times New Roman" w:hAnsi="Times New Roman" w:cs="Times New Roman"/>
          <w:sz w:val="24"/>
          <w:szCs w:val="24"/>
        </w:rPr>
        <w:t xml:space="preserve"> The </w:t>
      </w:r>
      <w:r w:rsidR="00C17B31">
        <w:rPr>
          <w:rFonts w:ascii="Times New Roman" w:eastAsia="Times New Roman" w:hAnsi="Times New Roman" w:cs="Times New Roman"/>
          <w:sz w:val="24"/>
          <w:szCs w:val="24"/>
        </w:rPr>
        <w:t>defendant</w:t>
      </w:r>
      <w:r w:rsidR="00DF03CE">
        <w:rPr>
          <w:rFonts w:ascii="Times New Roman" w:eastAsia="Times New Roman" w:hAnsi="Times New Roman" w:cs="Times New Roman"/>
          <w:sz w:val="24"/>
          <w:szCs w:val="24"/>
        </w:rPr>
        <w:t xml:space="preserve">’s alleged </w:t>
      </w:r>
      <w:r w:rsidR="009E5C72">
        <w:rPr>
          <w:rFonts w:ascii="Times New Roman" w:eastAsia="Times New Roman" w:hAnsi="Times New Roman" w:cs="Times New Roman"/>
          <w:sz w:val="24"/>
          <w:szCs w:val="24"/>
        </w:rPr>
        <w:lastRenderedPageBreak/>
        <w:t>violations occurred in 2010</w:t>
      </w:r>
      <w:r w:rsidR="00D44896">
        <w:rPr>
          <w:rFonts w:ascii="Times New Roman" w:eastAsia="Times New Roman" w:hAnsi="Times New Roman" w:cs="Times New Roman"/>
          <w:sz w:val="24"/>
          <w:szCs w:val="24"/>
        </w:rPr>
        <w:t xml:space="preserve"> and the complaint was not</w:t>
      </w:r>
      <w:r w:rsidR="009E5C72">
        <w:rPr>
          <w:rFonts w:ascii="Times New Roman" w:eastAsia="Times New Roman" w:hAnsi="Times New Roman" w:cs="Times New Roman"/>
          <w:sz w:val="24"/>
          <w:szCs w:val="24"/>
        </w:rPr>
        <w:t xml:space="preserve"> filed until 2017, outside of the </w:t>
      </w:r>
      <w:r w:rsidR="00D44896">
        <w:rPr>
          <w:rFonts w:ascii="Times New Roman" w:eastAsia="Times New Roman" w:hAnsi="Times New Roman" w:cs="Times New Roman"/>
          <w:sz w:val="24"/>
          <w:szCs w:val="24"/>
        </w:rPr>
        <w:t>six-</w:t>
      </w:r>
      <w:r w:rsidR="009E5C72">
        <w:rPr>
          <w:rFonts w:ascii="Times New Roman" w:eastAsia="Times New Roman" w:hAnsi="Times New Roman" w:cs="Times New Roman"/>
          <w:sz w:val="24"/>
          <w:szCs w:val="24"/>
        </w:rPr>
        <w:t xml:space="preserve">year statute of limitations under </w:t>
      </w:r>
      <w:r w:rsidR="009E5C72">
        <w:rPr>
          <w:rFonts w:ascii="Times New Roman" w:eastAsia="Times New Roman" w:hAnsi="Times New Roman" w:cs="Times New Roman"/>
          <w:sz w:val="24"/>
          <w:szCs w:val="24"/>
          <w:lang w:val="en-US"/>
        </w:rPr>
        <w:t>§</w:t>
      </w:r>
      <w:r w:rsidR="00670380">
        <w:rPr>
          <w:rFonts w:ascii="Times New Roman" w:eastAsia="Times New Roman" w:hAnsi="Times New Roman" w:cs="Times New Roman"/>
          <w:sz w:val="24"/>
          <w:szCs w:val="24"/>
          <w:lang w:val="en-US"/>
        </w:rPr>
        <w:t xml:space="preserve"> </w:t>
      </w:r>
      <w:r w:rsidR="009E5C72">
        <w:rPr>
          <w:rFonts w:ascii="Times New Roman" w:eastAsia="Times New Roman" w:hAnsi="Times New Roman" w:cs="Times New Roman"/>
          <w:sz w:val="24"/>
          <w:szCs w:val="24"/>
          <w:lang w:val="en-US"/>
        </w:rPr>
        <w:t>3731(b)(1)</w:t>
      </w:r>
      <w:r w:rsidR="009E5C72">
        <w:rPr>
          <w:rFonts w:ascii="Times New Roman" w:eastAsia="Times New Roman" w:hAnsi="Times New Roman" w:cs="Times New Roman"/>
          <w:sz w:val="24"/>
          <w:szCs w:val="24"/>
        </w:rPr>
        <w:t>.</w:t>
      </w:r>
      <w:r w:rsidR="009E5C72">
        <w:rPr>
          <w:rStyle w:val="FootnoteReference"/>
          <w:rFonts w:ascii="Times New Roman" w:eastAsia="Times New Roman" w:hAnsi="Times New Roman" w:cs="Times New Roman"/>
          <w:sz w:val="24"/>
          <w:szCs w:val="24"/>
        </w:rPr>
        <w:footnoteReference w:id="59"/>
      </w:r>
      <w:r w:rsidR="009E5C72">
        <w:rPr>
          <w:rFonts w:ascii="Times New Roman" w:eastAsia="Times New Roman" w:hAnsi="Times New Roman" w:cs="Times New Roman"/>
          <w:sz w:val="24"/>
          <w:szCs w:val="24"/>
        </w:rPr>
        <w:t xml:space="preserve"> </w:t>
      </w:r>
      <w:r w:rsidR="00AA70EC">
        <w:rPr>
          <w:rFonts w:ascii="Times New Roman" w:eastAsia="Times New Roman" w:hAnsi="Times New Roman" w:cs="Times New Roman"/>
          <w:sz w:val="24"/>
          <w:szCs w:val="24"/>
        </w:rPr>
        <w:t xml:space="preserve"> The district court granted the defendant’s motion for summary judgment and the relator appealed to the Sixth Circuit.  The court found that the relator’s claims were barred by the statute of limitations, and that the limitations period was not extended by the three-year statute of repose under </w:t>
      </w:r>
      <w:r w:rsidR="00DF03CE" w:rsidRPr="00DF03CE">
        <w:rPr>
          <w:rFonts w:ascii="Times New Roman" w:eastAsia="Times New Roman" w:hAnsi="Times New Roman" w:cs="Times New Roman"/>
          <w:sz w:val="24"/>
          <w:szCs w:val="24"/>
          <w:lang w:val="en-US"/>
        </w:rPr>
        <w:t>§</w:t>
      </w:r>
      <w:r w:rsidR="00670380">
        <w:rPr>
          <w:rFonts w:ascii="Times New Roman" w:eastAsia="Times New Roman" w:hAnsi="Times New Roman" w:cs="Times New Roman"/>
          <w:sz w:val="24"/>
          <w:szCs w:val="24"/>
          <w:lang w:val="en-US"/>
        </w:rPr>
        <w:t xml:space="preserve"> </w:t>
      </w:r>
      <w:r w:rsidR="00DF03CE" w:rsidRPr="00DF03CE">
        <w:rPr>
          <w:rFonts w:ascii="Times New Roman" w:eastAsia="Times New Roman" w:hAnsi="Times New Roman" w:cs="Times New Roman"/>
          <w:sz w:val="24"/>
          <w:szCs w:val="24"/>
          <w:lang w:val="en-US"/>
        </w:rPr>
        <w:t>3731(b)(2)</w:t>
      </w:r>
      <w:r w:rsidR="00DF03CE">
        <w:rPr>
          <w:rFonts w:ascii="Times New Roman" w:eastAsia="Times New Roman" w:hAnsi="Times New Roman" w:cs="Times New Roman"/>
          <w:sz w:val="24"/>
          <w:szCs w:val="24"/>
          <w:lang w:val="en-US"/>
        </w:rPr>
        <w:t xml:space="preserve">, </w:t>
      </w:r>
      <w:r w:rsidR="00AA70EC">
        <w:rPr>
          <w:rFonts w:ascii="Times New Roman" w:eastAsia="Times New Roman" w:hAnsi="Times New Roman" w:cs="Times New Roman"/>
          <w:sz w:val="24"/>
          <w:szCs w:val="24"/>
          <w:lang w:val="en-US"/>
        </w:rPr>
        <w:t xml:space="preserve">because </w:t>
      </w:r>
      <w:r w:rsidR="00DF03CE">
        <w:rPr>
          <w:rFonts w:ascii="Times New Roman" w:eastAsia="Times New Roman" w:hAnsi="Times New Roman" w:cs="Times New Roman"/>
          <w:sz w:val="24"/>
          <w:szCs w:val="24"/>
          <w:lang w:val="en-US"/>
        </w:rPr>
        <w:t>“</w:t>
      </w:r>
      <w:r w:rsidR="00DF03CE" w:rsidRPr="00DF03CE">
        <w:rPr>
          <w:rFonts w:ascii="Times New Roman" w:eastAsia="Times New Roman" w:hAnsi="Times New Roman" w:cs="Times New Roman"/>
          <w:sz w:val="24"/>
          <w:szCs w:val="24"/>
          <w:lang w:val="en-US"/>
        </w:rPr>
        <w:t>if Wells Fargo repaid the loan guar</w:t>
      </w:r>
      <w:r w:rsidR="00DF03CE">
        <w:rPr>
          <w:rFonts w:ascii="Times New Roman" w:eastAsia="Times New Roman" w:hAnsi="Times New Roman" w:cs="Times New Roman"/>
          <w:sz w:val="24"/>
          <w:szCs w:val="24"/>
          <w:lang w:val="en-US"/>
        </w:rPr>
        <w:t xml:space="preserve">antee to the SBA in April 2014, then the SBA either </w:t>
      </w:r>
      <w:r w:rsidR="00DF03CE" w:rsidRPr="00DF03CE">
        <w:rPr>
          <w:rFonts w:ascii="Times New Roman" w:eastAsia="Times New Roman" w:hAnsi="Times New Roman" w:cs="Times New Roman"/>
          <w:sz w:val="24"/>
          <w:szCs w:val="24"/>
          <w:lang w:val="en-US"/>
        </w:rPr>
        <w:t xml:space="preserve">knew or reasonably should have known of the facts material to </w:t>
      </w:r>
      <w:r w:rsidR="00AA70EC">
        <w:rPr>
          <w:rFonts w:ascii="Times New Roman" w:eastAsia="Times New Roman" w:hAnsi="Times New Roman" w:cs="Times New Roman"/>
          <w:sz w:val="24"/>
          <w:szCs w:val="24"/>
          <w:lang w:val="en-US"/>
        </w:rPr>
        <w:t xml:space="preserve">[the relator’s] </w:t>
      </w:r>
      <w:r w:rsidR="00DF03CE" w:rsidRPr="00DF03CE">
        <w:rPr>
          <w:rFonts w:ascii="Times New Roman" w:eastAsia="Times New Roman" w:hAnsi="Times New Roman" w:cs="Times New Roman"/>
          <w:sz w:val="24"/>
          <w:szCs w:val="24"/>
          <w:lang w:val="en-US"/>
        </w:rPr>
        <w:t xml:space="preserve"> FCA claims no later than April 30, 2014</w:t>
      </w:r>
      <w:r w:rsidR="00AA70EC">
        <w:rPr>
          <w:rFonts w:ascii="Times New Roman" w:eastAsia="Times New Roman" w:hAnsi="Times New Roman" w:cs="Times New Roman"/>
          <w:sz w:val="24"/>
          <w:szCs w:val="24"/>
          <w:lang w:val="en-US"/>
        </w:rPr>
        <w:t>,</w:t>
      </w:r>
      <w:r w:rsidR="00DF03CE">
        <w:rPr>
          <w:rFonts w:ascii="Times New Roman" w:eastAsia="Times New Roman" w:hAnsi="Times New Roman" w:cs="Times New Roman"/>
          <w:sz w:val="24"/>
          <w:szCs w:val="24"/>
          <w:lang w:val="en-US"/>
        </w:rPr>
        <w:t>” which f</w:t>
      </w:r>
      <w:r w:rsidR="00AA70EC">
        <w:rPr>
          <w:rFonts w:ascii="Times New Roman" w:eastAsia="Times New Roman" w:hAnsi="Times New Roman" w:cs="Times New Roman"/>
          <w:sz w:val="24"/>
          <w:szCs w:val="24"/>
          <w:lang w:val="en-US"/>
        </w:rPr>
        <w:t>ell</w:t>
      </w:r>
      <w:r w:rsidR="00DF03CE">
        <w:rPr>
          <w:rFonts w:ascii="Times New Roman" w:eastAsia="Times New Roman" w:hAnsi="Times New Roman" w:cs="Times New Roman"/>
          <w:sz w:val="24"/>
          <w:szCs w:val="24"/>
          <w:lang w:val="en-US"/>
        </w:rPr>
        <w:t xml:space="preserve"> outside of th</w:t>
      </w:r>
      <w:r w:rsidR="00AA70EC">
        <w:rPr>
          <w:rFonts w:ascii="Times New Roman" w:eastAsia="Times New Roman" w:hAnsi="Times New Roman" w:cs="Times New Roman"/>
          <w:sz w:val="24"/>
          <w:szCs w:val="24"/>
          <w:lang w:val="en-US"/>
        </w:rPr>
        <w:t>e</w:t>
      </w:r>
      <w:r w:rsidR="00DF03CE">
        <w:rPr>
          <w:rFonts w:ascii="Times New Roman" w:eastAsia="Times New Roman" w:hAnsi="Times New Roman" w:cs="Times New Roman"/>
          <w:sz w:val="24"/>
          <w:szCs w:val="24"/>
          <w:lang w:val="en-US"/>
        </w:rPr>
        <w:t xml:space="preserve"> </w:t>
      </w:r>
      <w:r w:rsidR="00AA70EC">
        <w:rPr>
          <w:rFonts w:ascii="Times New Roman" w:eastAsia="Times New Roman" w:hAnsi="Times New Roman" w:cs="Times New Roman"/>
          <w:sz w:val="24"/>
          <w:szCs w:val="24"/>
          <w:lang w:val="en-US"/>
        </w:rPr>
        <w:t>three-</w:t>
      </w:r>
      <w:r w:rsidR="00DF03CE">
        <w:rPr>
          <w:rFonts w:ascii="Times New Roman" w:eastAsia="Times New Roman" w:hAnsi="Times New Roman" w:cs="Times New Roman"/>
          <w:sz w:val="24"/>
          <w:szCs w:val="24"/>
          <w:lang w:val="en-US"/>
        </w:rPr>
        <w:t>year window</w:t>
      </w:r>
      <w:r w:rsidR="00DF03CE" w:rsidRPr="00DF03CE">
        <w:rPr>
          <w:rFonts w:ascii="Times New Roman" w:eastAsia="Times New Roman" w:hAnsi="Times New Roman" w:cs="Times New Roman"/>
          <w:sz w:val="24"/>
          <w:szCs w:val="24"/>
          <w:lang w:val="en-US"/>
        </w:rPr>
        <w:t>.</w:t>
      </w:r>
      <w:r w:rsidR="00DF03CE">
        <w:rPr>
          <w:rStyle w:val="FootnoteReference"/>
          <w:rFonts w:ascii="Times New Roman" w:eastAsia="Times New Roman" w:hAnsi="Times New Roman" w:cs="Times New Roman"/>
          <w:sz w:val="24"/>
          <w:szCs w:val="24"/>
          <w:lang w:val="en-US"/>
        </w:rPr>
        <w:footnoteReference w:id="60"/>
      </w:r>
      <w:r w:rsidR="00DF03CE">
        <w:rPr>
          <w:rFonts w:ascii="Times New Roman" w:eastAsia="Times New Roman" w:hAnsi="Times New Roman" w:cs="Times New Roman"/>
          <w:sz w:val="24"/>
          <w:szCs w:val="24"/>
          <w:lang w:val="en-US"/>
        </w:rPr>
        <w:t xml:space="preserve"> </w:t>
      </w:r>
    </w:p>
    <w:p w14:paraId="2D397586" w14:textId="013D756B" w:rsidR="00B01382" w:rsidRPr="001261E1" w:rsidRDefault="00B01382" w:rsidP="00394636">
      <w:pPr>
        <w:pStyle w:val="Heading1"/>
        <w:numPr>
          <w:ilvl w:val="0"/>
          <w:numId w:val="1"/>
        </w:numPr>
        <w:spacing w:line="480" w:lineRule="auto"/>
        <w:rPr>
          <w:rFonts w:ascii="Times New Roman" w:hAnsi="Times New Roman" w:cs="Times New Roman"/>
        </w:rPr>
      </w:pPr>
      <w:r w:rsidRPr="001261E1">
        <w:rPr>
          <w:rFonts w:ascii="Times New Roman" w:hAnsi="Times New Roman" w:cs="Times New Roman"/>
        </w:rPr>
        <w:t>Jurisdictional Issues</w:t>
      </w:r>
    </w:p>
    <w:p w14:paraId="3F89360C" w14:textId="7458AB74" w:rsidR="00B01382" w:rsidRPr="00394636" w:rsidRDefault="00EA36E8" w:rsidP="00394636">
      <w:pPr>
        <w:pStyle w:val="Heading2"/>
        <w:numPr>
          <w:ilvl w:val="0"/>
          <w:numId w:val="5"/>
        </w:numPr>
        <w:spacing w:line="480" w:lineRule="auto"/>
        <w:rPr>
          <w:rFonts w:ascii="Times New Roman" w:hAnsi="Times New Roman" w:cs="Times New Roman"/>
          <w:b/>
        </w:rPr>
      </w:pPr>
      <w:r w:rsidRPr="00394636">
        <w:rPr>
          <w:rFonts w:ascii="Times New Roman" w:hAnsi="Times New Roman" w:cs="Times New Roman"/>
          <w:b/>
        </w:rPr>
        <w:t>Public Disclosure B</w:t>
      </w:r>
      <w:r w:rsidR="00B01382" w:rsidRPr="00394636">
        <w:rPr>
          <w:rFonts w:ascii="Times New Roman" w:hAnsi="Times New Roman" w:cs="Times New Roman"/>
          <w:b/>
        </w:rPr>
        <w:t>ar</w:t>
      </w:r>
    </w:p>
    <w:p w14:paraId="15288FC3" w14:textId="370EB89A" w:rsidR="00B01382" w:rsidRDefault="00B01382" w:rsidP="008F1E23">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marked a busy year for the </w:t>
      </w:r>
      <w:r w:rsidR="00670380">
        <w:rPr>
          <w:rFonts w:ascii="Times New Roman" w:eastAsia="Times New Roman" w:hAnsi="Times New Roman" w:cs="Times New Roman"/>
          <w:sz w:val="24"/>
          <w:szCs w:val="24"/>
        </w:rPr>
        <w:t xml:space="preserve">FCA’s </w:t>
      </w:r>
      <w:r>
        <w:rPr>
          <w:rFonts w:ascii="Times New Roman" w:eastAsia="Times New Roman" w:hAnsi="Times New Roman" w:cs="Times New Roman"/>
          <w:sz w:val="24"/>
          <w:szCs w:val="24"/>
        </w:rPr>
        <w:t xml:space="preserve">public disclosure bar in cases across the country. In the </w:t>
      </w:r>
      <w:r w:rsidR="00F10AB3">
        <w:rPr>
          <w:rFonts w:ascii="Times New Roman" w:eastAsia="Times New Roman" w:hAnsi="Times New Roman" w:cs="Times New Roman"/>
          <w:sz w:val="24"/>
          <w:szCs w:val="24"/>
        </w:rPr>
        <w:t xml:space="preserve">Sixth </w:t>
      </w:r>
      <w:r>
        <w:rPr>
          <w:rFonts w:ascii="Times New Roman" w:eastAsia="Times New Roman" w:hAnsi="Times New Roman" w:cs="Times New Roman"/>
          <w:sz w:val="24"/>
          <w:szCs w:val="24"/>
        </w:rPr>
        <w:t>Circuit</w:t>
      </w:r>
      <w:r w:rsidR="00F10AB3">
        <w:rPr>
          <w:rFonts w:ascii="Times New Roman" w:eastAsia="Times New Roman" w:hAnsi="Times New Roman" w:cs="Times New Roman"/>
          <w:sz w:val="24"/>
          <w:szCs w:val="24"/>
        </w:rPr>
        <w:t xml:space="preserve"> case,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United States ex rel. Holloway v. Heartland Hospice, Inc.</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61"/>
      </w:r>
      <w:r>
        <w:rPr>
          <w:rFonts w:ascii="Times New Roman" w:eastAsia="Times New Roman" w:hAnsi="Times New Roman" w:cs="Times New Roman"/>
          <w:sz w:val="24"/>
          <w:szCs w:val="24"/>
        </w:rPr>
        <w:t xml:space="preserve"> </w:t>
      </w:r>
      <w:r w:rsidR="00874037">
        <w:rPr>
          <w:rFonts w:ascii="Times New Roman" w:eastAsia="Times New Roman" w:hAnsi="Times New Roman" w:cs="Times New Roman"/>
          <w:sz w:val="24"/>
          <w:szCs w:val="24"/>
        </w:rPr>
        <w:t>t</w:t>
      </w:r>
      <w:r w:rsidR="00C17B31">
        <w:rPr>
          <w:rFonts w:ascii="Times New Roman" w:eastAsia="Times New Roman" w:hAnsi="Times New Roman" w:cs="Times New Roman"/>
          <w:sz w:val="24"/>
          <w:szCs w:val="24"/>
        </w:rPr>
        <w:t>he relator brought</w:t>
      </w:r>
      <w:r>
        <w:rPr>
          <w:rFonts w:ascii="Times New Roman" w:eastAsia="Times New Roman" w:hAnsi="Times New Roman" w:cs="Times New Roman"/>
          <w:sz w:val="24"/>
          <w:szCs w:val="24"/>
        </w:rPr>
        <w:t xml:space="preserve"> </w:t>
      </w:r>
      <w:r w:rsidRPr="00C17B31">
        <w:rPr>
          <w:rFonts w:ascii="Times New Roman" w:eastAsia="Times New Roman" w:hAnsi="Times New Roman" w:cs="Times New Roman"/>
          <w:i/>
          <w:sz w:val="24"/>
          <w:szCs w:val="24"/>
        </w:rPr>
        <w:t>qui tam</w:t>
      </w:r>
      <w:r>
        <w:rPr>
          <w:rFonts w:ascii="Times New Roman" w:eastAsia="Times New Roman" w:hAnsi="Times New Roman" w:cs="Times New Roman"/>
          <w:sz w:val="24"/>
          <w:szCs w:val="24"/>
        </w:rPr>
        <w:t xml:space="preserve"> a</w:t>
      </w:r>
      <w:r w:rsidR="00C17B31">
        <w:rPr>
          <w:rFonts w:ascii="Times New Roman" w:eastAsia="Times New Roman" w:hAnsi="Times New Roman" w:cs="Times New Roman"/>
          <w:sz w:val="24"/>
          <w:szCs w:val="24"/>
        </w:rPr>
        <w:t xml:space="preserve">ction against Heartland Hospice, alleging </w:t>
      </w:r>
      <w:r>
        <w:rPr>
          <w:rFonts w:ascii="Times New Roman" w:eastAsia="Times New Roman" w:hAnsi="Times New Roman" w:cs="Times New Roman"/>
          <w:sz w:val="24"/>
          <w:szCs w:val="24"/>
        </w:rPr>
        <w:t xml:space="preserve">that Heartland submitted false claims to Medicare and Medicaid for reimbursement. The district court </w:t>
      </w:r>
      <w:r w:rsidR="00F10AB3">
        <w:rPr>
          <w:rFonts w:ascii="Times New Roman" w:eastAsia="Times New Roman" w:hAnsi="Times New Roman" w:cs="Times New Roman"/>
          <w:sz w:val="24"/>
          <w:szCs w:val="24"/>
        </w:rPr>
        <w:t xml:space="preserve">granted the defendant’s motion to </w:t>
      </w:r>
      <w:r>
        <w:rPr>
          <w:rFonts w:ascii="Times New Roman" w:eastAsia="Times New Roman" w:hAnsi="Times New Roman" w:cs="Times New Roman"/>
          <w:sz w:val="24"/>
          <w:szCs w:val="24"/>
        </w:rPr>
        <w:t xml:space="preserve">dismiss, concluding that </w:t>
      </w:r>
      <w:r w:rsidR="00874037">
        <w:rPr>
          <w:rFonts w:ascii="Times New Roman" w:eastAsia="Times New Roman" w:hAnsi="Times New Roman" w:cs="Times New Roman"/>
          <w:sz w:val="24"/>
          <w:szCs w:val="24"/>
        </w:rPr>
        <w:t xml:space="preserve">the relator’s </w:t>
      </w:r>
      <w:r>
        <w:rPr>
          <w:rFonts w:ascii="Times New Roman" w:eastAsia="Times New Roman" w:hAnsi="Times New Roman" w:cs="Times New Roman"/>
          <w:sz w:val="24"/>
          <w:szCs w:val="24"/>
        </w:rPr>
        <w:t xml:space="preserve">complaint was not </w:t>
      </w:r>
      <w:r w:rsidR="00874037">
        <w:rPr>
          <w:rFonts w:ascii="Times New Roman" w:eastAsia="Times New Roman" w:hAnsi="Times New Roman" w:cs="Times New Roman"/>
          <w:sz w:val="24"/>
          <w:szCs w:val="24"/>
        </w:rPr>
        <w:t xml:space="preserve">precluded </w:t>
      </w:r>
      <w:r>
        <w:rPr>
          <w:rFonts w:ascii="Times New Roman" w:eastAsia="Times New Roman" w:hAnsi="Times New Roman" w:cs="Times New Roman"/>
          <w:sz w:val="24"/>
          <w:szCs w:val="24"/>
        </w:rPr>
        <w:t xml:space="preserve">by the public disclosure bar, </w:t>
      </w:r>
      <w:r w:rsidR="00874037">
        <w:rPr>
          <w:rFonts w:ascii="Times New Roman" w:eastAsia="Times New Roman" w:hAnsi="Times New Roman" w:cs="Times New Roman"/>
          <w:sz w:val="24"/>
          <w:szCs w:val="24"/>
        </w:rPr>
        <w:t>however, she failed to meet the requirements of Rule 9(b)</w:t>
      </w:r>
      <w:r>
        <w:rPr>
          <w:rFonts w:ascii="Times New Roman" w:eastAsia="Times New Roman" w:hAnsi="Times New Roman" w:cs="Times New Roman"/>
          <w:sz w:val="24"/>
          <w:szCs w:val="24"/>
        </w:rPr>
        <w:t>.</w:t>
      </w:r>
      <w:r w:rsidR="00874037" w:rsidRPr="008740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appeal, the </w:t>
      </w:r>
      <w:r w:rsidR="00874037">
        <w:rPr>
          <w:rFonts w:ascii="Times New Roman" w:eastAsia="Times New Roman" w:hAnsi="Times New Roman" w:cs="Times New Roman"/>
          <w:sz w:val="24"/>
          <w:szCs w:val="24"/>
        </w:rPr>
        <w:t xml:space="preserve">Sixth </w:t>
      </w:r>
      <w:r>
        <w:rPr>
          <w:rFonts w:ascii="Times New Roman" w:eastAsia="Times New Roman" w:hAnsi="Times New Roman" w:cs="Times New Roman"/>
          <w:sz w:val="24"/>
          <w:szCs w:val="24"/>
        </w:rPr>
        <w:t>Circuit affirmed the decision</w:t>
      </w:r>
      <w:r w:rsidR="00874037">
        <w:rPr>
          <w:rFonts w:ascii="Times New Roman" w:eastAsia="Times New Roman" w:hAnsi="Times New Roman" w:cs="Times New Roman"/>
          <w:sz w:val="24"/>
          <w:szCs w:val="24"/>
        </w:rPr>
        <w:t xml:space="preserve"> to grant the motion to dismiss on Rule 9(b) grounds, but also held that the relator’s claims were barred </w:t>
      </w:r>
      <w:r>
        <w:rPr>
          <w:rFonts w:ascii="Times New Roman" w:eastAsia="Times New Roman" w:hAnsi="Times New Roman" w:cs="Times New Roman"/>
          <w:sz w:val="24"/>
          <w:szCs w:val="24"/>
        </w:rPr>
        <w:t xml:space="preserve">by the public disclosure </w:t>
      </w:r>
      <w:r w:rsidR="00874037">
        <w:rPr>
          <w:rFonts w:ascii="Times New Roman" w:eastAsia="Times New Roman" w:hAnsi="Times New Roman" w:cs="Times New Roman"/>
          <w:sz w:val="24"/>
          <w:szCs w:val="24"/>
        </w:rPr>
        <w:t>provisions of the FCA</w:t>
      </w:r>
      <w:r>
        <w:rPr>
          <w:rFonts w:ascii="Times New Roman" w:eastAsia="Times New Roman" w:hAnsi="Times New Roman" w:cs="Times New Roman"/>
          <w:sz w:val="24"/>
          <w:szCs w:val="24"/>
        </w:rPr>
        <w:t xml:space="preserve">. The Court noted the existence of previous </w:t>
      </w:r>
      <w:r w:rsidR="00874037">
        <w:rPr>
          <w:rFonts w:ascii="Times New Roman" w:eastAsia="Times New Roman" w:hAnsi="Times New Roman" w:cs="Times New Roman"/>
          <w:sz w:val="24"/>
          <w:szCs w:val="24"/>
        </w:rPr>
        <w:t>FCA</w:t>
      </w:r>
      <w:r>
        <w:rPr>
          <w:rFonts w:ascii="Times New Roman" w:eastAsia="Times New Roman" w:hAnsi="Times New Roman" w:cs="Times New Roman"/>
          <w:sz w:val="24"/>
          <w:szCs w:val="24"/>
        </w:rPr>
        <w:t xml:space="preserve"> actions against the parent company of Heartland Hospice, HCR </w:t>
      </w:r>
      <w:r>
        <w:rPr>
          <w:rFonts w:ascii="Times New Roman" w:eastAsia="Times New Roman" w:hAnsi="Times New Roman" w:cs="Times New Roman"/>
          <w:sz w:val="24"/>
          <w:szCs w:val="24"/>
        </w:rPr>
        <w:lastRenderedPageBreak/>
        <w:t xml:space="preserve">ManorCare. </w:t>
      </w:r>
      <w:r w:rsidR="00874037">
        <w:rPr>
          <w:rFonts w:ascii="Times New Roman" w:eastAsia="Times New Roman" w:hAnsi="Times New Roman" w:cs="Times New Roman"/>
          <w:sz w:val="24"/>
          <w:szCs w:val="24"/>
        </w:rPr>
        <w:t xml:space="preserve">The court rejected the relator’s argument </w:t>
      </w:r>
      <w:r>
        <w:rPr>
          <w:rFonts w:ascii="Times New Roman" w:eastAsia="Times New Roman" w:hAnsi="Times New Roman" w:cs="Times New Roman"/>
          <w:sz w:val="24"/>
          <w:szCs w:val="24"/>
        </w:rPr>
        <w:t xml:space="preserve">that “a </w:t>
      </w:r>
      <w:r w:rsidRPr="001261E1">
        <w:rPr>
          <w:rFonts w:ascii="Times New Roman" w:eastAsia="Times New Roman" w:hAnsi="Times New Roman" w:cs="Times New Roman"/>
          <w:i/>
          <w:sz w:val="24"/>
          <w:szCs w:val="24"/>
        </w:rPr>
        <w:t>qui tam</w:t>
      </w:r>
      <w:r>
        <w:rPr>
          <w:rFonts w:ascii="Times New Roman" w:eastAsia="Times New Roman" w:hAnsi="Times New Roman" w:cs="Times New Roman"/>
          <w:sz w:val="24"/>
          <w:szCs w:val="24"/>
        </w:rPr>
        <w:t xml:space="preserve"> relator is not the government’s agent and, therefore, that the case is not ‘public’ unless the government intervenes,”</w:t>
      </w:r>
      <w:r>
        <w:rPr>
          <w:rFonts w:ascii="Times New Roman" w:eastAsia="Times New Roman" w:hAnsi="Times New Roman" w:cs="Times New Roman"/>
          <w:sz w:val="24"/>
          <w:szCs w:val="24"/>
          <w:vertAlign w:val="superscript"/>
        </w:rPr>
        <w:footnoteReference w:id="62"/>
      </w:r>
      <w:r>
        <w:rPr>
          <w:rFonts w:ascii="Times New Roman" w:eastAsia="Times New Roman" w:hAnsi="Times New Roman" w:cs="Times New Roman"/>
          <w:sz w:val="24"/>
          <w:szCs w:val="24"/>
        </w:rPr>
        <w:t xml:space="preserve"> </w:t>
      </w:r>
      <w:r w:rsidR="00874037">
        <w:rPr>
          <w:rFonts w:ascii="Times New Roman" w:eastAsia="Times New Roman" w:hAnsi="Times New Roman" w:cs="Times New Roman"/>
          <w:sz w:val="24"/>
          <w:szCs w:val="24"/>
        </w:rPr>
        <w:t>explaining</w:t>
      </w:r>
      <w:r>
        <w:rPr>
          <w:rFonts w:ascii="Times New Roman" w:eastAsia="Times New Roman" w:hAnsi="Times New Roman" w:cs="Times New Roman"/>
          <w:sz w:val="24"/>
          <w:szCs w:val="24"/>
        </w:rPr>
        <w:t xml:space="preserve"> that “the </w:t>
      </w:r>
      <w:r w:rsidRPr="001261E1">
        <w:rPr>
          <w:rFonts w:ascii="Times New Roman" w:eastAsia="Times New Roman" w:hAnsi="Times New Roman" w:cs="Times New Roman"/>
          <w:i/>
          <w:sz w:val="24"/>
          <w:szCs w:val="24"/>
        </w:rPr>
        <w:t>qui tam</w:t>
      </w:r>
      <w:r>
        <w:rPr>
          <w:rFonts w:ascii="Times New Roman" w:eastAsia="Times New Roman" w:hAnsi="Times New Roman" w:cs="Times New Roman"/>
          <w:sz w:val="24"/>
          <w:szCs w:val="24"/>
        </w:rPr>
        <w:t xml:space="preserve"> relator is, in all cases, the government’s agent under § 3730(e)(4)(A)(i)”</w:t>
      </w:r>
      <w:r>
        <w:rPr>
          <w:rFonts w:ascii="Times New Roman" w:eastAsia="Times New Roman" w:hAnsi="Times New Roman" w:cs="Times New Roman"/>
          <w:sz w:val="24"/>
          <w:szCs w:val="24"/>
          <w:vertAlign w:val="superscript"/>
        </w:rPr>
        <w:footnoteReference w:id="63"/>
      </w:r>
      <w:r>
        <w:rPr>
          <w:rFonts w:ascii="Times New Roman" w:eastAsia="Times New Roman" w:hAnsi="Times New Roman" w:cs="Times New Roman"/>
          <w:sz w:val="24"/>
          <w:szCs w:val="24"/>
        </w:rPr>
        <w:t xml:space="preserve"> and </w:t>
      </w:r>
      <w:r w:rsidR="00874037">
        <w:rPr>
          <w:rFonts w:ascii="Times New Roman" w:eastAsia="Times New Roman" w:hAnsi="Times New Roman" w:cs="Times New Roman"/>
          <w:sz w:val="24"/>
          <w:szCs w:val="24"/>
        </w:rPr>
        <w:t xml:space="preserve">that the </w:t>
      </w:r>
      <w:r w:rsidR="00EB6605">
        <w:rPr>
          <w:rFonts w:ascii="Times New Roman" w:eastAsia="Times New Roman" w:hAnsi="Times New Roman" w:cs="Times New Roman"/>
          <w:sz w:val="24"/>
          <w:szCs w:val="24"/>
        </w:rPr>
        <w:t>facts underlying the relator’s claims were publicly disclosed.</w:t>
      </w:r>
      <w:r>
        <w:rPr>
          <w:rFonts w:ascii="Times New Roman" w:eastAsia="Times New Roman" w:hAnsi="Times New Roman" w:cs="Times New Roman"/>
          <w:sz w:val="24"/>
          <w:szCs w:val="24"/>
          <w:vertAlign w:val="superscript"/>
        </w:rPr>
        <w:footnoteReference w:id="64"/>
      </w:r>
      <w:r>
        <w:rPr>
          <w:rFonts w:ascii="Times New Roman" w:eastAsia="Times New Roman" w:hAnsi="Times New Roman" w:cs="Times New Roman"/>
          <w:sz w:val="24"/>
          <w:szCs w:val="24"/>
        </w:rPr>
        <w:t xml:space="preserve"> </w:t>
      </w:r>
    </w:p>
    <w:p w14:paraId="37C2A7EA" w14:textId="2D453C43" w:rsidR="00B51117" w:rsidRDefault="00670380" w:rsidP="001261E1">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Also,</w:t>
      </w:r>
      <w:r w:rsidR="00EB6605">
        <w:rPr>
          <w:rFonts w:ascii="Times New Roman" w:eastAsia="Times New Roman" w:hAnsi="Times New Roman" w:cs="Times New Roman"/>
          <w:sz w:val="24"/>
          <w:szCs w:val="24"/>
        </w:rPr>
        <w:t xml:space="preserve"> in the Sixth Circuit, </w:t>
      </w:r>
      <w:r w:rsidR="00E658B2">
        <w:rPr>
          <w:rFonts w:ascii="Times New Roman" w:eastAsia="Times New Roman" w:hAnsi="Times New Roman" w:cs="Times New Roman"/>
          <w:sz w:val="24"/>
          <w:szCs w:val="24"/>
        </w:rPr>
        <w:t xml:space="preserve">in </w:t>
      </w:r>
      <w:r w:rsidR="00E658B2" w:rsidRPr="00E658B2">
        <w:rPr>
          <w:rFonts w:ascii="Times New Roman" w:eastAsia="Times New Roman" w:hAnsi="Times New Roman" w:cs="Times New Roman"/>
          <w:i/>
          <w:sz w:val="24"/>
          <w:szCs w:val="24"/>
        </w:rPr>
        <w:t>U</w:t>
      </w:r>
      <w:r>
        <w:rPr>
          <w:rFonts w:ascii="Times New Roman" w:eastAsia="Times New Roman" w:hAnsi="Times New Roman" w:cs="Times New Roman"/>
          <w:i/>
          <w:sz w:val="24"/>
          <w:szCs w:val="24"/>
        </w:rPr>
        <w:t>nited States</w:t>
      </w:r>
      <w:r w:rsidR="00E658B2" w:rsidRPr="00E658B2">
        <w:rPr>
          <w:rFonts w:ascii="Times New Roman" w:eastAsia="Times New Roman" w:hAnsi="Times New Roman" w:cs="Times New Roman"/>
          <w:i/>
          <w:sz w:val="24"/>
          <w:szCs w:val="24"/>
        </w:rPr>
        <w:t xml:space="preserve"> ex. rel. Maur v. Hage-Korban</w:t>
      </w:r>
      <w:r>
        <w:rPr>
          <w:rFonts w:ascii="Times New Roman" w:eastAsia="Times New Roman" w:hAnsi="Times New Roman" w:cs="Times New Roman"/>
          <w:sz w:val="24"/>
          <w:szCs w:val="24"/>
        </w:rPr>
        <w:t>,</w:t>
      </w:r>
      <w:r w:rsidR="00E658B2" w:rsidRPr="001261E1">
        <w:rPr>
          <w:rStyle w:val="FootnoteReference"/>
          <w:rFonts w:ascii="Times New Roman" w:eastAsia="Times New Roman" w:hAnsi="Times New Roman" w:cs="Times New Roman"/>
          <w:sz w:val="24"/>
          <w:szCs w:val="24"/>
        </w:rPr>
        <w:footnoteReference w:id="65"/>
      </w:r>
      <w:r w:rsidR="00E658B2" w:rsidRPr="00E658B2">
        <w:rPr>
          <w:rFonts w:ascii="Times New Roman" w:eastAsia="Times New Roman" w:hAnsi="Times New Roman" w:cs="Times New Roman"/>
          <w:i/>
          <w:sz w:val="24"/>
          <w:szCs w:val="24"/>
        </w:rPr>
        <w:t xml:space="preserve"> </w:t>
      </w:r>
      <w:r w:rsidR="00EB6605">
        <w:rPr>
          <w:rFonts w:ascii="Times New Roman" w:eastAsia="Times New Roman" w:hAnsi="Times New Roman" w:cs="Times New Roman"/>
          <w:sz w:val="24"/>
          <w:szCs w:val="24"/>
        </w:rPr>
        <w:t xml:space="preserve">the relator brought a </w:t>
      </w:r>
      <w:r w:rsidR="00EB6605" w:rsidRPr="001261E1">
        <w:rPr>
          <w:rFonts w:ascii="Times New Roman" w:eastAsia="Times New Roman" w:hAnsi="Times New Roman" w:cs="Times New Roman"/>
          <w:i/>
          <w:sz w:val="24"/>
          <w:szCs w:val="24"/>
        </w:rPr>
        <w:t>qui tam</w:t>
      </w:r>
      <w:r w:rsidR="00EB6605">
        <w:rPr>
          <w:rFonts w:ascii="Times New Roman" w:eastAsia="Times New Roman" w:hAnsi="Times New Roman" w:cs="Times New Roman"/>
          <w:sz w:val="24"/>
          <w:szCs w:val="24"/>
        </w:rPr>
        <w:t xml:space="preserve"> action alleging that the defendants engaged in a scheme to submit</w:t>
      </w:r>
      <w:r w:rsidR="00EB6605" w:rsidRPr="00EB6605">
        <w:rPr>
          <w:rFonts w:ascii="Times New Roman" w:eastAsia="Times New Roman" w:hAnsi="Times New Roman" w:cs="Times New Roman"/>
          <w:sz w:val="24"/>
          <w:szCs w:val="24"/>
        </w:rPr>
        <w:t xml:space="preserve"> false claims to Medicare for unnecessary cardiac testing and procedures</w:t>
      </w:r>
      <w:r w:rsidR="00EB6605">
        <w:rPr>
          <w:rFonts w:ascii="Times New Roman" w:eastAsia="Times New Roman" w:hAnsi="Times New Roman" w:cs="Times New Roman"/>
          <w:sz w:val="24"/>
          <w:szCs w:val="24"/>
        </w:rPr>
        <w:t xml:space="preserve"> in violation of the FCA.  The district court </w:t>
      </w:r>
      <w:r w:rsidR="00A64918">
        <w:rPr>
          <w:rFonts w:ascii="Times New Roman" w:eastAsia="Times New Roman" w:hAnsi="Times New Roman" w:cs="Times New Roman"/>
          <w:sz w:val="24"/>
          <w:szCs w:val="24"/>
        </w:rPr>
        <w:t xml:space="preserve">granted the defendants’ motion to dismiss, finding that </w:t>
      </w:r>
      <w:r w:rsidR="00A64918" w:rsidRPr="00A64918">
        <w:rPr>
          <w:rFonts w:ascii="Times New Roman" w:eastAsia="Times New Roman" w:hAnsi="Times New Roman" w:cs="Times New Roman"/>
          <w:sz w:val="24"/>
          <w:szCs w:val="24"/>
        </w:rPr>
        <w:t>“[a]lthough Maur includes several new Defendants, and describes different specific patient examples, there is not only ‘substantial identity’ between the fraudulent scheme he alleges in his Amended Complaint and the fraudulent scheme that the </w:t>
      </w:r>
      <w:r w:rsidR="00A64918" w:rsidRPr="00A64918">
        <w:rPr>
          <w:rFonts w:ascii="Times New Roman" w:eastAsia="Times New Roman" w:hAnsi="Times New Roman" w:cs="Times New Roman"/>
          <w:i/>
          <w:iCs/>
          <w:sz w:val="24"/>
          <w:szCs w:val="24"/>
        </w:rPr>
        <w:t>Deming qui tam</w:t>
      </w:r>
      <w:r w:rsidR="00A64918" w:rsidRPr="00A64918">
        <w:rPr>
          <w:rFonts w:ascii="Times New Roman" w:eastAsia="Times New Roman" w:hAnsi="Times New Roman" w:cs="Times New Roman"/>
          <w:sz w:val="24"/>
          <w:szCs w:val="24"/>
        </w:rPr>
        <w:t> action publicly exposed—it is the same fraudulent scheme.”</w:t>
      </w:r>
      <w:r w:rsidR="00A64918">
        <w:rPr>
          <w:rStyle w:val="FootnoteReference"/>
          <w:rFonts w:ascii="Times New Roman" w:eastAsia="Times New Roman" w:hAnsi="Times New Roman" w:cs="Times New Roman"/>
          <w:sz w:val="24"/>
          <w:szCs w:val="24"/>
        </w:rPr>
        <w:footnoteReference w:id="66"/>
      </w:r>
      <w:r w:rsidR="00A64918">
        <w:rPr>
          <w:rFonts w:ascii="Times New Roman" w:eastAsia="Times New Roman" w:hAnsi="Times New Roman" w:cs="Times New Roman"/>
          <w:sz w:val="24"/>
          <w:szCs w:val="24"/>
        </w:rPr>
        <w:t xml:space="preserve">  The relator appealed to the Sixth Circuit</w:t>
      </w:r>
      <w:r w:rsidR="00896AC2">
        <w:rPr>
          <w:rFonts w:ascii="Times New Roman" w:eastAsia="Times New Roman" w:hAnsi="Times New Roman" w:cs="Times New Roman"/>
          <w:sz w:val="24"/>
          <w:szCs w:val="24"/>
        </w:rPr>
        <w:t xml:space="preserve">.  The circuit court affirmed, finding that the allegations in </w:t>
      </w:r>
      <w:r w:rsidR="00B01382">
        <w:rPr>
          <w:rFonts w:ascii="Times New Roman" w:eastAsia="Times New Roman" w:hAnsi="Times New Roman" w:cs="Times New Roman"/>
          <w:sz w:val="24"/>
          <w:szCs w:val="24"/>
        </w:rPr>
        <w:t xml:space="preserve">Maur’s </w:t>
      </w:r>
      <w:r w:rsidR="00896AC2">
        <w:rPr>
          <w:rFonts w:ascii="Times New Roman" w:eastAsia="Times New Roman" w:hAnsi="Times New Roman" w:cs="Times New Roman"/>
          <w:sz w:val="24"/>
          <w:szCs w:val="24"/>
        </w:rPr>
        <w:t>complaint were</w:t>
      </w:r>
      <w:r w:rsidR="00B01382">
        <w:rPr>
          <w:rFonts w:ascii="Times New Roman" w:eastAsia="Times New Roman" w:hAnsi="Times New Roman" w:cs="Times New Roman"/>
          <w:sz w:val="24"/>
          <w:szCs w:val="24"/>
        </w:rPr>
        <w:t xml:space="preserve"> “substantially the same”</w:t>
      </w:r>
      <w:r w:rsidR="00B01382">
        <w:rPr>
          <w:rFonts w:ascii="Times New Roman" w:eastAsia="Times New Roman" w:hAnsi="Times New Roman" w:cs="Times New Roman"/>
          <w:sz w:val="24"/>
          <w:szCs w:val="24"/>
          <w:vertAlign w:val="superscript"/>
        </w:rPr>
        <w:footnoteReference w:id="67"/>
      </w:r>
      <w:r w:rsidR="00C17B31">
        <w:rPr>
          <w:rFonts w:ascii="Times New Roman" w:eastAsia="Times New Roman" w:hAnsi="Times New Roman" w:cs="Times New Roman"/>
          <w:sz w:val="24"/>
          <w:szCs w:val="24"/>
        </w:rPr>
        <w:t xml:space="preserve"> as </w:t>
      </w:r>
      <w:r w:rsidR="00896AC2">
        <w:rPr>
          <w:rFonts w:ascii="Times New Roman" w:eastAsia="Times New Roman" w:hAnsi="Times New Roman" w:cs="Times New Roman"/>
          <w:sz w:val="24"/>
          <w:szCs w:val="24"/>
        </w:rPr>
        <w:t xml:space="preserve">those in the </w:t>
      </w:r>
      <w:r w:rsidR="00C17B31">
        <w:rPr>
          <w:rFonts w:ascii="Times New Roman" w:eastAsia="Times New Roman" w:hAnsi="Times New Roman" w:cs="Times New Roman"/>
          <w:sz w:val="24"/>
          <w:szCs w:val="24"/>
        </w:rPr>
        <w:t xml:space="preserve">previous </w:t>
      </w:r>
      <w:r w:rsidR="00896AC2" w:rsidRPr="001261E1">
        <w:rPr>
          <w:rFonts w:ascii="Times New Roman" w:eastAsia="Times New Roman" w:hAnsi="Times New Roman" w:cs="Times New Roman"/>
          <w:i/>
          <w:sz w:val="24"/>
          <w:szCs w:val="24"/>
        </w:rPr>
        <w:t>qui tam</w:t>
      </w:r>
      <w:r w:rsidR="00896AC2">
        <w:rPr>
          <w:rFonts w:ascii="Times New Roman" w:eastAsia="Times New Roman" w:hAnsi="Times New Roman" w:cs="Times New Roman"/>
          <w:sz w:val="24"/>
          <w:szCs w:val="24"/>
        </w:rPr>
        <w:t xml:space="preserve"> </w:t>
      </w:r>
      <w:r w:rsidR="00C17B31">
        <w:rPr>
          <w:rFonts w:ascii="Times New Roman" w:eastAsia="Times New Roman" w:hAnsi="Times New Roman" w:cs="Times New Roman"/>
          <w:sz w:val="24"/>
          <w:szCs w:val="24"/>
        </w:rPr>
        <w:t xml:space="preserve">action </w:t>
      </w:r>
      <w:r w:rsidR="00896AC2">
        <w:rPr>
          <w:rFonts w:ascii="Times New Roman" w:eastAsia="Times New Roman" w:hAnsi="Times New Roman" w:cs="Times New Roman"/>
          <w:sz w:val="24"/>
          <w:szCs w:val="24"/>
        </w:rPr>
        <w:t xml:space="preserve">and that </w:t>
      </w:r>
      <w:r w:rsidR="00B01382">
        <w:rPr>
          <w:rFonts w:ascii="Times New Roman" w:eastAsia="Times New Roman" w:hAnsi="Times New Roman" w:cs="Times New Roman"/>
          <w:sz w:val="24"/>
          <w:szCs w:val="24"/>
        </w:rPr>
        <w:t xml:space="preserve">Maur </w:t>
      </w:r>
      <w:r w:rsidR="00896AC2">
        <w:rPr>
          <w:rFonts w:ascii="Times New Roman" w:eastAsia="Times New Roman" w:hAnsi="Times New Roman" w:cs="Times New Roman"/>
          <w:sz w:val="24"/>
          <w:szCs w:val="24"/>
        </w:rPr>
        <w:t>was</w:t>
      </w:r>
      <w:r w:rsidR="00B01382">
        <w:rPr>
          <w:rFonts w:ascii="Times New Roman" w:eastAsia="Times New Roman" w:hAnsi="Times New Roman" w:cs="Times New Roman"/>
          <w:sz w:val="24"/>
          <w:szCs w:val="24"/>
        </w:rPr>
        <w:t xml:space="preserve"> not an “original source,”</w:t>
      </w:r>
      <w:r w:rsidR="00896AC2">
        <w:rPr>
          <w:rFonts w:ascii="Times New Roman" w:eastAsia="Times New Roman" w:hAnsi="Times New Roman" w:cs="Times New Roman"/>
          <w:sz w:val="24"/>
          <w:szCs w:val="24"/>
        </w:rPr>
        <w:t xml:space="preserve"> because</w:t>
      </w:r>
      <w:r w:rsidR="00B01382">
        <w:rPr>
          <w:rFonts w:ascii="Times New Roman" w:eastAsia="Times New Roman" w:hAnsi="Times New Roman" w:cs="Times New Roman"/>
          <w:sz w:val="24"/>
          <w:szCs w:val="24"/>
        </w:rPr>
        <w:t xml:space="preserve"> he “did not communicate anything to the government prior to those public disclosures”</w:t>
      </w:r>
      <w:r w:rsidR="00B01382">
        <w:rPr>
          <w:rFonts w:ascii="Times New Roman" w:eastAsia="Times New Roman" w:hAnsi="Times New Roman" w:cs="Times New Roman"/>
          <w:sz w:val="24"/>
          <w:szCs w:val="24"/>
          <w:vertAlign w:val="superscript"/>
        </w:rPr>
        <w:footnoteReference w:id="68"/>
      </w:r>
      <w:r w:rsidR="00B01382">
        <w:rPr>
          <w:rFonts w:ascii="Times New Roman" w:eastAsia="Times New Roman" w:hAnsi="Times New Roman" w:cs="Times New Roman"/>
          <w:sz w:val="24"/>
          <w:szCs w:val="24"/>
        </w:rPr>
        <w:t xml:space="preserve"> </w:t>
      </w:r>
      <w:r w:rsidR="00C17B31">
        <w:rPr>
          <w:rFonts w:ascii="Times New Roman" w:eastAsia="Times New Roman" w:hAnsi="Times New Roman" w:cs="Times New Roman"/>
          <w:sz w:val="24"/>
          <w:szCs w:val="24"/>
        </w:rPr>
        <w:t xml:space="preserve">including </w:t>
      </w:r>
      <w:r w:rsidR="00B056BF">
        <w:rPr>
          <w:rFonts w:ascii="Times New Roman" w:eastAsia="Times New Roman" w:hAnsi="Times New Roman" w:cs="Times New Roman"/>
          <w:sz w:val="24"/>
          <w:szCs w:val="24"/>
        </w:rPr>
        <w:t xml:space="preserve">the prior </w:t>
      </w:r>
      <w:r w:rsidR="00B056BF" w:rsidRPr="001261E1">
        <w:rPr>
          <w:rFonts w:ascii="Times New Roman" w:eastAsia="Times New Roman" w:hAnsi="Times New Roman" w:cs="Times New Roman"/>
          <w:i/>
          <w:sz w:val="24"/>
          <w:szCs w:val="24"/>
        </w:rPr>
        <w:t>qui tam</w:t>
      </w:r>
      <w:r w:rsidR="00B056BF">
        <w:rPr>
          <w:rFonts w:ascii="Times New Roman" w:eastAsia="Times New Roman" w:hAnsi="Times New Roman" w:cs="Times New Roman"/>
          <w:sz w:val="24"/>
          <w:szCs w:val="24"/>
        </w:rPr>
        <w:t xml:space="preserve"> actions, </w:t>
      </w:r>
      <w:r w:rsidR="00B01382">
        <w:rPr>
          <w:rFonts w:ascii="Times New Roman" w:eastAsia="Times New Roman" w:hAnsi="Times New Roman" w:cs="Times New Roman"/>
          <w:sz w:val="24"/>
          <w:szCs w:val="24"/>
        </w:rPr>
        <w:t xml:space="preserve">DOJ press releases regarding </w:t>
      </w:r>
      <w:r w:rsidR="00B056BF">
        <w:rPr>
          <w:rFonts w:ascii="Times New Roman" w:eastAsia="Times New Roman" w:hAnsi="Times New Roman" w:cs="Times New Roman"/>
          <w:sz w:val="24"/>
          <w:szCs w:val="24"/>
        </w:rPr>
        <w:t>the defendants’</w:t>
      </w:r>
      <w:r w:rsidR="00B01382">
        <w:rPr>
          <w:rFonts w:ascii="Times New Roman" w:eastAsia="Times New Roman" w:hAnsi="Times New Roman" w:cs="Times New Roman"/>
          <w:sz w:val="24"/>
          <w:szCs w:val="24"/>
        </w:rPr>
        <w:t xml:space="preserve"> previous settlements, and </w:t>
      </w:r>
      <w:r w:rsidR="00B056BF">
        <w:rPr>
          <w:rFonts w:ascii="Times New Roman" w:eastAsia="Times New Roman" w:hAnsi="Times New Roman" w:cs="Times New Roman"/>
          <w:sz w:val="24"/>
          <w:szCs w:val="24"/>
        </w:rPr>
        <w:t xml:space="preserve">the </w:t>
      </w:r>
      <w:r w:rsidR="00B01382">
        <w:rPr>
          <w:rFonts w:ascii="Times New Roman" w:eastAsia="Times New Roman" w:hAnsi="Times New Roman" w:cs="Times New Roman"/>
          <w:sz w:val="24"/>
          <w:szCs w:val="24"/>
        </w:rPr>
        <w:t>Integrity Agreement with the HHS-OIG</w:t>
      </w:r>
      <w:r w:rsidR="00B056BF">
        <w:rPr>
          <w:rFonts w:ascii="Times New Roman" w:eastAsia="Times New Roman" w:hAnsi="Times New Roman" w:cs="Times New Roman"/>
          <w:sz w:val="24"/>
          <w:szCs w:val="24"/>
        </w:rPr>
        <w:t xml:space="preserve"> that resulted from the previous case</w:t>
      </w:r>
      <w:r w:rsidR="00B01382">
        <w:rPr>
          <w:rFonts w:ascii="Times New Roman" w:eastAsia="Times New Roman" w:hAnsi="Times New Roman" w:cs="Times New Roman"/>
          <w:sz w:val="24"/>
          <w:szCs w:val="24"/>
        </w:rPr>
        <w:t>.</w:t>
      </w:r>
      <w:r w:rsidR="00B01382">
        <w:rPr>
          <w:rFonts w:ascii="Times New Roman" w:eastAsia="Times New Roman" w:hAnsi="Times New Roman" w:cs="Times New Roman"/>
          <w:sz w:val="24"/>
          <w:szCs w:val="24"/>
          <w:vertAlign w:val="superscript"/>
        </w:rPr>
        <w:footnoteReference w:id="69"/>
      </w:r>
    </w:p>
    <w:p w14:paraId="7544EFE0" w14:textId="41E2490B" w:rsidR="00B01382" w:rsidRPr="008F1E23" w:rsidRDefault="00B51117" w:rsidP="008F1E23">
      <w:pPr>
        <w:spacing w:line="480" w:lineRule="auto"/>
        <w:ind w:firstLine="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Finally, </w:t>
      </w:r>
      <w:r w:rsidR="00B056BF">
        <w:rPr>
          <w:rFonts w:ascii="Times New Roman" w:eastAsia="Times New Roman" w:hAnsi="Times New Roman" w:cs="Times New Roman"/>
          <w:sz w:val="24"/>
          <w:szCs w:val="24"/>
        </w:rPr>
        <w:t xml:space="preserve">in </w:t>
      </w:r>
      <w:r w:rsidRPr="00BB0923">
        <w:rPr>
          <w:rFonts w:ascii="Times New Roman" w:eastAsia="Times New Roman" w:hAnsi="Times New Roman" w:cs="Times New Roman"/>
          <w:i/>
          <w:sz w:val="24"/>
          <w:szCs w:val="24"/>
        </w:rPr>
        <w:t>U</w:t>
      </w:r>
      <w:r w:rsidR="00B056BF">
        <w:rPr>
          <w:rFonts w:ascii="Times New Roman" w:eastAsia="Times New Roman" w:hAnsi="Times New Roman" w:cs="Times New Roman"/>
          <w:i/>
          <w:sz w:val="24"/>
          <w:szCs w:val="24"/>
        </w:rPr>
        <w:t xml:space="preserve">nited </w:t>
      </w:r>
      <w:r w:rsidRPr="00BB0923">
        <w:rPr>
          <w:rFonts w:ascii="Times New Roman" w:eastAsia="Times New Roman" w:hAnsi="Times New Roman" w:cs="Times New Roman"/>
          <w:i/>
          <w:sz w:val="24"/>
          <w:szCs w:val="24"/>
        </w:rPr>
        <w:t>S</w:t>
      </w:r>
      <w:r w:rsidR="00B056BF">
        <w:rPr>
          <w:rFonts w:ascii="Times New Roman" w:eastAsia="Times New Roman" w:hAnsi="Times New Roman" w:cs="Times New Roman"/>
          <w:i/>
          <w:sz w:val="24"/>
          <w:szCs w:val="24"/>
        </w:rPr>
        <w:t>tates</w:t>
      </w:r>
      <w:r w:rsidRPr="00BB0923">
        <w:rPr>
          <w:rFonts w:ascii="Times New Roman" w:eastAsia="Times New Roman" w:hAnsi="Times New Roman" w:cs="Times New Roman"/>
          <w:i/>
          <w:sz w:val="24"/>
          <w:szCs w:val="24"/>
        </w:rPr>
        <w:t xml:space="preserve"> ex. rel. Banigan v. PharMerica, Inc</w:t>
      </w:r>
      <w:r w:rsidR="00C17B31">
        <w:rPr>
          <w:rFonts w:ascii="Times New Roman" w:eastAsia="Times New Roman" w:hAnsi="Times New Roman" w:cs="Times New Roman"/>
          <w:i/>
          <w:sz w:val="24"/>
          <w:szCs w:val="24"/>
        </w:rPr>
        <w:t>.</w:t>
      </w:r>
      <w:r w:rsidR="00670380">
        <w:rPr>
          <w:rFonts w:ascii="Times New Roman" w:eastAsia="Times New Roman" w:hAnsi="Times New Roman" w:cs="Times New Roman"/>
          <w:sz w:val="24"/>
          <w:szCs w:val="24"/>
        </w:rPr>
        <w:t>,</w:t>
      </w:r>
      <w:r w:rsidR="00BB0923" w:rsidRPr="001261E1">
        <w:rPr>
          <w:rStyle w:val="FootnoteReference"/>
          <w:rFonts w:ascii="Times New Roman" w:eastAsia="Times New Roman" w:hAnsi="Times New Roman" w:cs="Times New Roman"/>
          <w:sz w:val="24"/>
          <w:szCs w:val="24"/>
        </w:rPr>
        <w:footnoteReference w:id="70"/>
      </w:r>
      <w:r w:rsidR="00C17B31">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w:t>
      </w:r>
      <w:r w:rsidR="00B056BF">
        <w:rPr>
          <w:rFonts w:ascii="Times New Roman" w:eastAsia="Times New Roman" w:hAnsi="Times New Roman" w:cs="Times New Roman"/>
          <w:sz w:val="24"/>
          <w:szCs w:val="24"/>
        </w:rPr>
        <w:t xml:space="preserve">First </w:t>
      </w:r>
      <w:r>
        <w:rPr>
          <w:rFonts w:ascii="Times New Roman" w:eastAsia="Times New Roman" w:hAnsi="Times New Roman" w:cs="Times New Roman"/>
          <w:sz w:val="24"/>
          <w:szCs w:val="24"/>
        </w:rPr>
        <w:t xml:space="preserve">Circuit addressed the “original source” </w:t>
      </w:r>
      <w:r w:rsidR="00B056BF">
        <w:rPr>
          <w:rFonts w:ascii="Times New Roman" w:eastAsia="Times New Roman" w:hAnsi="Times New Roman" w:cs="Times New Roman"/>
          <w:sz w:val="24"/>
          <w:szCs w:val="24"/>
        </w:rPr>
        <w:t xml:space="preserve">exception under </w:t>
      </w:r>
      <w:r>
        <w:rPr>
          <w:rFonts w:ascii="Times New Roman" w:eastAsia="Times New Roman" w:hAnsi="Times New Roman" w:cs="Times New Roman"/>
          <w:sz w:val="24"/>
          <w:szCs w:val="24"/>
        </w:rPr>
        <w:t xml:space="preserve">the public disclosure </w:t>
      </w:r>
      <w:r w:rsidR="00C17B31">
        <w:rPr>
          <w:rFonts w:ascii="Times New Roman" w:eastAsia="Times New Roman" w:hAnsi="Times New Roman" w:cs="Times New Roman"/>
          <w:sz w:val="24"/>
          <w:szCs w:val="24"/>
        </w:rPr>
        <w:t xml:space="preserve">bar. </w:t>
      </w:r>
      <w:r w:rsidR="00B056BF">
        <w:rPr>
          <w:rFonts w:ascii="Times New Roman" w:eastAsia="Times New Roman" w:hAnsi="Times New Roman" w:cs="Times New Roman"/>
          <w:sz w:val="24"/>
          <w:szCs w:val="24"/>
        </w:rPr>
        <w:t xml:space="preserve"> The relator</w:t>
      </w:r>
      <w:r w:rsidR="002C194F">
        <w:rPr>
          <w:rFonts w:ascii="Times New Roman" w:eastAsia="Times New Roman" w:hAnsi="Times New Roman" w:cs="Times New Roman"/>
          <w:sz w:val="24"/>
          <w:szCs w:val="24"/>
        </w:rPr>
        <w:t xml:space="preserve">s </w:t>
      </w:r>
      <w:r w:rsidR="00B056BF">
        <w:rPr>
          <w:rFonts w:ascii="Times New Roman" w:eastAsia="Times New Roman" w:hAnsi="Times New Roman" w:cs="Times New Roman"/>
          <w:sz w:val="24"/>
          <w:szCs w:val="24"/>
        </w:rPr>
        <w:t xml:space="preserve">brought a </w:t>
      </w:r>
      <w:r w:rsidR="00B056BF" w:rsidRPr="001261E1">
        <w:rPr>
          <w:rFonts w:ascii="Times New Roman" w:eastAsia="Times New Roman" w:hAnsi="Times New Roman" w:cs="Times New Roman"/>
          <w:i/>
          <w:sz w:val="24"/>
          <w:szCs w:val="24"/>
        </w:rPr>
        <w:t>qui tam</w:t>
      </w:r>
      <w:r w:rsidR="00B056BF">
        <w:rPr>
          <w:rFonts w:ascii="Times New Roman" w:eastAsia="Times New Roman" w:hAnsi="Times New Roman" w:cs="Times New Roman"/>
          <w:sz w:val="24"/>
          <w:szCs w:val="24"/>
        </w:rPr>
        <w:t xml:space="preserve"> </w:t>
      </w:r>
      <w:r w:rsidR="00B056BF">
        <w:rPr>
          <w:rFonts w:ascii="Times New Roman" w:eastAsia="Times New Roman" w:hAnsi="Times New Roman" w:cs="Times New Roman"/>
          <w:sz w:val="24"/>
          <w:szCs w:val="24"/>
        </w:rPr>
        <w:lastRenderedPageBreak/>
        <w:t xml:space="preserve">action </w:t>
      </w:r>
      <w:r w:rsidR="00670380">
        <w:rPr>
          <w:rFonts w:ascii="Times New Roman" w:eastAsia="Times New Roman" w:hAnsi="Times New Roman" w:cs="Times New Roman"/>
          <w:sz w:val="24"/>
          <w:szCs w:val="24"/>
        </w:rPr>
        <w:t xml:space="preserve">against </w:t>
      </w:r>
      <w:r w:rsidR="00B056BF">
        <w:rPr>
          <w:rFonts w:ascii="Times New Roman" w:eastAsia="Times New Roman" w:hAnsi="Times New Roman" w:cs="Times New Roman"/>
          <w:sz w:val="24"/>
          <w:szCs w:val="24"/>
        </w:rPr>
        <w:t xml:space="preserve">a </w:t>
      </w:r>
      <w:r w:rsidR="002C194F">
        <w:rPr>
          <w:rFonts w:ascii="Times New Roman" w:eastAsia="Times New Roman" w:hAnsi="Times New Roman" w:cs="Times New Roman"/>
          <w:sz w:val="24"/>
          <w:szCs w:val="24"/>
        </w:rPr>
        <w:t>pharmacy</w:t>
      </w:r>
      <w:r w:rsidR="00B056BF">
        <w:rPr>
          <w:rFonts w:ascii="Times New Roman" w:eastAsia="Times New Roman" w:hAnsi="Times New Roman" w:cs="Times New Roman"/>
          <w:sz w:val="24"/>
          <w:szCs w:val="24"/>
        </w:rPr>
        <w:t xml:space="preserve"> company and its subsidiaries alleging that the defendants engaged in a </w:t>
      </w:r>
      <w:r w:rsidR="002C194F">
        <w:rPr>
          <w:rFonts w:ascii="Times New Roman" w:eastAsia="Times New Roman" w:hAnsi="Times New Roman" w:cs="Times New Roman"/>
          <w:sz w:val="24"/>
          <w:szCs w:val="24"/>
        </w:rPr>
        <w:t xml:space="preserve">scheme to accept kickbacks from pharmaceutical companies in exchange for switching patients’ prescriptions to the company’s drug and submitted claims tainted by the kickbacks to the government in violation of the AKS. The district court granted the defendants’ motion to dismiss, finding that the relators’ claims were publicly disclosed in previous </w:t>
      </w:r>
      <w:r w:rsidR="002C194F" w:rsidRPr="00B367DA">
        <w:rPr>
          <w:rFonts w:ascii="Times New Roman" w:eastAsia="Times New Roman" w:hAnsi="Times New Roman" w:cs="Times New Roman"/>
          <w:i/>
          <w:sz w:val="24"/>
          <w:szCs w:val="24"/>
        </w:rPr>
        <w:t>qui tam</w:t>
      </w:r>
      <w:r w:rsidR="002C194F">
        <w:rPr>
          <w:rFonts w:ascii="Times New Roman" w:eastAsia="Times New Roman" w:hAnsi="Times New Roman" w:cs="Times New Roman"/>
          <w:sz w:val="24"/>
          <w:szCs w:val="24"/>
        </w:rPr>
        <w:t xml:space="preserve"> actions and that the relators w</w:t>
      </w:r>
      <w:r w:rsidR="006149D4">
        <w:rPr>
          <w:rFonts w:ascii="Times New Roman" w:eastAsia="Times New Roman" w:hAnsi="Times New Roman" w:cs="Times New Roman"/>
          <w:sz w:val="24"/>
          <w:szCs w:val="24"/>
        </w:rPr>
        <w:t>ere</w:t>
      </w:r>
      <w:r w:rsidR="002C194F">
        <w:rPr>
          <w:rFonts w:ascii="Times New Roman" w:eastAsia="Times New Roman" w:hAnsi="Times New Roman" w:cs="Times New Roman"/>
          <w:sz w:val="24"/>
          <w:szCs w:val="24"/>
        </w:rPr>
        <w:t xml:space="preserve"> not an original source</w:t>
      </w:r>
      <w:r w:rsidR="006149D4">
        <w:rPr>
          <w:rFonts w:ascii="Times New Roman" w:eastAsia="Times New Roman" w:hAnsi="Times New Roman" w:cs="Times New Roman"/>
          <w:sz w:val="24"/>
          <w:szCs w:val="24"/>
        </w:rPr>
        <w:t>s</w:t>
      </w:r>
      <w:r w:rsidR="002C194F">
        <w:rPr>
          <w:rFonts w:ascii="Times New Roman" w:eastAsia="Times New Roman" w:hAnsi="Times New Roman" w:cs="Times New Roman"/>
          <w:sz w:val="24"/>
          <w:szCs w:val="24"/>
        </w:rPr>
        <w:t xml:space="preserve"> of </w:t>
      </w:r>
      <w:r w:rsidR="006149D4">
        <w:rPr>
          <w:rFonts w:ascii="Times New Roman" w:eastAsia="Times New Roman" w:hAnsi="Times New Roman" w:cs="Times New Roman"/>
          <w:sz w:val="24"/>
          <w:szCs w:val="24"/>
        </w:rPr>
        <w:t xml:space="preserve">their </w:t>
      </w:r>
      <w:r w:rsidR="00670380">
        <w:rPr>
          <w:rFonts w:ascii="Times New Roman" w:eastAsia="Times New Roman" w:hAnsi="Times New Roman" w:cs="Times New Roman"/>
          <w:sz w:val="24"/>
          <w:szCs w:val="24"/>
        </w:rPr>
        <w:t>allegations</w:t>
      </w:r>
      <w:r w:rsidR="002C194F">
        <w:rPr>
          <w:rFonts w:ascii="Times New Roman" w:eastAsia="Times New Roman" w:hAnsi="Times New Roman" w:cs="Times New Roman"/>
          <w:sz w:val="24"/>
          <w:szCs w:val="24"/>
        </w:rPr>
        <w:t xml:space="preserve">.  </w:t>
      </w:r>
      <w:r w:rsidR="006149D4">
        <w:rPr>
          <w:rFonts w:ascii="Times New Roman" w:eastAsia="Times New Roman" w:hAnsi="Times New Roman" w:cs="Times New Roman"/>
          <w:sz w:val="24"/>
          <w:szCs w:val="24"/>
        </w:rPr>
        <w:t xml:space="preserve">The relators appealed and the circuit court reversed in part, finding that while the relators’ claims were publicly disclosed, the relators were original sources.  The circuit court rejected the defendants’ argument that </w:t>
      </w:r>
      <w:r>
        <w:rPr>
          <w:rFonts w:ascii="Times New Roman" w:eastAsia="Times New Roman" w:hAnsi="Times New Roman" w:cs="Times New Roman"/>
          <w:sz w:val="24"/>
          <w:szCs w:val="24"/>
        </w:rPr>
        <w:t xml:space="preserve">in order to be an “original source,” one would </w:t>
      </w:r>
      <w:r w:rsidR="00213E95">
        <w:rPr>
          <w:rFonts w:ascii="Times New Roman" w:eastAsia="Times New Roman" w:hAnsi="Times New Roman" w:cs="Times New Roman"/>
          <w:sz w:val="24"/>
          <w:szCs w:val="24"/>
        </w:rPr>
        <w:t>“</w:t>
      </w:r>
      <w:r w:rsidR="00213E95" w:rsidRPr="00213E95">
        <w:rPr>
          <w:rFonts w:ascii="Times New Roman" w:eastAsia="Times New Roman" w:hAnsi="Times New Roman" w:cs="Times New Roman"/>
          <w:sz w:val="24"/>
          <w:szCs w:val="24"/>
          <w:lang w:val="en-US"/>
        </w:rPr>
        <w:t>have either participated in the fraud or observed it in operation</w:t>
      </w:r>
      <w:r w:rsidR="00213E95">
        <w:rPr>
          <w:rFonts w:ascii="Times New Roman" w:eastAsia="Times New Roman" w:hAnsi="Times New Roman" w:cs="Times New Roman"/>
          <w:sz w:val="24"/>
          <w:szCs w:val="24"/>
          <w:lang w:val="en-US"/>
        </w:rPr>
        <w:t>”</w:t>
      </w:r>
      <w:r w:rsidR="00213E95">
        <w:rPr>
          <w:rStyle w:val="FootnoteReference"/>
          <w:rFonts w:ascii="Times New Roman" w:eastAsia="Times New Roman" w:hAnsi="Times New Roman" w:cs="Times New Roman"/>
          <w:sz w:val="24"/>
          <w:szCs w:val="24"/>
          <w:lang w:val="en-US"/>
        </w:rPr>
        <w:footnoteReference w:id="71"/>
      </w:r>
      <w:r w:rsidR="00213E95">
        <w:rPr>
          <w:rFonts w:ascii="Times New Roman" w:eastAsia="Times New Roman" w:hAnsi="Times New Roman" w:cs="Times New Roman"/>
          <w:sz w:val="24"/>
          <w:szCs w:val="24"/>
          <w:lang w:val="en-US"/>
        </w:rPr>
        <w:t xml:space="preserve"> </w:t>
      </w:r>
      <w:r w:rsidR="008E3431">
        <w:rPr>
          <w:rFonts w:ascii="Times New Roman" w:eastAsia="Times New Roman" w:hAnsi="Times New Roman" w:cs="Times New Roman"/>
          <w:sz w:val="24"/>
          <w:szCs w:val="24"/>
          <w:lang w:val="en-US"/>
        </w:rPr>
        <w:t xml:space="preserve">because in order to qualify as an original source, </w:t>
      </w:r>
      <w:r w:rsidR="00213E95">
        <w:rPr>
          <w:rFonts w:ascii="Times New Roman" w:eastAsia="Times New Roman" w:hAnsi="Times New Roman" w:cs="Times New Roman"/>
          <w:sz w:val="24"/>
          <w:szCs w:val="24"/>
          <w:lang w:val="en-US"/>
        </w:rPr>
        <w:t>the relator must have “</w:t>
      </w:r>
      <w:r w:rsidR="00213E95" w:rsidRPr="00213E95">
        <w:rPr>
          <w:rFonts w:ascii="Times New Roman" w:eastAsia="Times New Roman" w:hAnsi="Times New Roman" w:cs="Times New Roman"/>
          <w:sz w:val="24"/>
          <w:szCs w:val="24"/>
          <w:lang w:val="en-US"/>
        </w:rPr>
        <w:t>direct and independent knowledge of the information on which the allegations are based</w:t>
      </w:r>
      <w:r w:rsidR="00213E95">
        <w:rPr>
          <w:rFonts w:ascii="Times New Roman" w:eastAsia="Times New Roman" w:hAnsi="Times New Roman" w:cs="Times New Roman"/>
          <w:sz w:val="24"/>
          <w:szCs w:val="24"/>
          <w:lang w:val="en-US"/>
        </w:rPr>
        <w:t>.”</w:t>
      </w:r>
      <w:r w:rsidR="00213E95">
        <w:rPr>
          <w:rStyle w:val="FootnoteReference"/>
          <w:rFonts w:ascii="Times New Roman" w:eastAsia="Times New Roman" w:hAnsi="Times New Roman" w:cs="Times New Roman"/>
          <w:sz w:val="24"/>
          <w:szCs w:val="24"/>
          <w:lang w:val="en-US"/>
        </w:rPr>
        <w:footnoteReference w:id="72"/>
      </w:r>
      <w:r w:rsidR="00213E95">
        <w:rPr>
          <w:rFonts w:ascii="Times New Roman" w:eastAsia="Times New Roman" w:hAnsi="Times New Roman" w:cs="Times New Roman"/>
          <w:sz w:val="24"/>
          <w:szCs w:val="24"/>
          <w:lang w:val="en-US"/>
        </w:rPr>
        <w:t xml:space="preserve"> </w:t>
      </w:r>
      <w:r w:rsidR="008E3431">
        <w:rPr>
          <w:rFonts w:ascii="Times New Roman" w:eastAsia="Times New Roman" w:hAnsi="Times New Roman" w:cs="Times New Roman"/>
          <w:sz w:val="24"/>
          <w:szCs w:val="24"/>
          <w:lang w:val="en-US"/>
        </w:rPr>
        <w:t xml:space="preserve">The court explained that </w:t>
      </w:r>
      <w:r w:rsidR="00213E95">
        <w:rPr>
          <w:rFonts w:ascii="Times New Roman" w:eastAsia="Times New Roman" w:hAnsi="Times New Roman" w:cs="Times New Roman"/>
          <w:sz w:val="24"/>
          <w:szCs w:val="24"/>
          <w:lang w:val="en-US"/>
        </w:rPr>
        <w:t xml:space="preserve">that </w:t>
      </w:r>
      <w:r w:rsidR="008E3431">
        <w:rPr>
          <w:rFonts w:ascii="Times New Roman" w:eastAsia="Times New Roman" w:hAnsi="Times New Roman" w:cs="Times New Roman"/>
          <w:sz w:val="24"/>
          <w:szCs w:val="24"/>
          <w:lang w:val="en-US"/>
        </w:rPr>
        <w:t xml:space="preserve">because one relator </w:t>
      </w:r>
      <w:r w:rsidR="00213E95">
        <w:rPr>
          <w:rFonts w:ascii="Times New Roman" w:eastAsia="Times New Roman" w:hAnsi="Times New Roman" w:cs="Times New Roman"/>
          <w:sz w:val="24"/>
          <w:szCs w:val="24"/>
          <w:lang w:val="en-US"/>
        </w:rPr>
        <w:t xml:space="preserve">learned of the fraud </w:t>
      </w:r>
      <w:r w:rsidR="008E3431">
        <w:rPr>
          <w:rFonts w:ascii="Times New Roman" w:eastAsia="Times New Roman" w:hAnsi="Times New Roman" w:cs="Times New Roman"/>
          <w:sz w:val="24"/>
          <w:szCs w:val="24"/>
          <w:lang w:val="en-US"/>
        </w:rPr>
        <w:t xml:space="preserve">through </w:t>
      </w:r>
      <w:r w:rsidR="00213E95">
        <w:rPr>
          <w:rFonts w:ascii="Times New Roman" w:eastAsia="Times New Roman" w:hAnsi="Times New Roman" w:cs="Times New Roman"/>
          <w:sz w:val="24"/>
          <w:szCs w:val="24"/>
          <w:lang w:val="en-US"/>
        </w:rPr>
        <w:t>“conversations with…</w:t>
      </w:r>
      <w:r w:rsidR="00213E95" w:rsidRPr="00213E95">
        <w:rPr>
          <w:rFonts w:eastAsia="Times New Roman"/>
        </w:rPr>
        <w:t xml:space="preserve"> </w:t>
      </w:r>
      <w:r w:rsidR="00213E95" w:rsidRPr="00213E95">
        <w:rPr>
          <w:rFonts w:ascii="Times New Roman" w:eastAsia="Times New Roman" w:hAnsi="Times New Roman" w:cs="Times New Roman"/>
          <w:sz w:val="24"/>
          <w:szCs w:val="24"/>
          <w:lang w:val="en-US"/>
        </w:rPr>
        <w:t>the architects and primary perpetrators of the fraudulent scheme</w:t>
      </w:r>
      <w:r w:rsidR="00213E95">
        <w:rPr>
          <w:rFonts w:ascii="Times New Roman" w:eastAsia="Times New Roman" w:hAnsi="Times New Roman" w:cs="Times New Roman"/>
          <w:sz w:val="24"/>
          <w:szCs w:val="24"/>
          <w:lang w:val="en-US"/>
        </w:rPr>
        <w:t xml:space="preserve">” and “documents </w:t>
      </w:r>
      <w:r w:rsidR="00213E95" w:rsidRPr="00213E95">
        <w:rPr>
          <w:rFonts w:ascii="Times New Roman" w:eastAsia="Times New Roman" w:hAnsi="Times New Roman" w:cs="Times New Roman"/>
          <w:sz w:val="24"/>
          <w:szCs w:val="24"/>
          <w:lang w:val="en-US"/>
        </w:rPr>
        <w:t>generated as part of the fraudulent scheme that he obtained through his own investigative efforts</w:t>
      </w:r>
      <w:r w:rsidR="00213E95">
        <w:rPr>
          <w:rFonts w:ascii="Times New Roman" w:eastAsia="Times New Roman" w:hAnsi="Times New Roman" w:cs="Times New Roman"/>
          <w:sz w:val="24"/>
          <w:szCs w:val="24"/>
          <w:lang w:val="en-US"/>
        </w:rPr>
        <w:t>,”</w:t>
      </w:r>
      <w:r w:rsidR="00213E95">
        <w:rPr>
          <w:rStyle w:val="FootnoteReference"/>
          <w:rFonts w:ascii="Times New Roman" w:eastAsia="Times New Roman" w:hAnsi="Times New Roman" w:cs="Times New Roman"/>
          <w:sz w:val="24"/>
          <w:szCs w:val="24"/>
          <w:lang w:val="en-US"/>
        </w:rPr>
        <w:footnoteReference w:id="73"/>
      </w:r>
      <w:r w:rsidR="00213E95">
        <w:rPr>
          <w:rFonts w:ascii="Times New Roman" w:eastAsia="Times New Roman" w:hAnsi="Times New Roman" w:cs="Times New Roman"/>
          <w:sz w:val="24"/>
          <w:szCs w:val="24"/>
          <w:lang w:val="en-US"/>
        </w:rPr>
        <w:t xml:space="preserve"> he </w:t>
      </w:r>
      <w:r w:rsidR="008E3431">
        <w:rPr>
          <w:rFonts w:ascii="Times New Roman" w:eastAsia="Times New Roman" w:hAnsi="Times New Roman" w:cs="Times New Roman"/>
          <w:sz w:val="24"/>
          <w:szCs w:val="24"/>
          <w:lang w:val="en-US"/>
        </w:rPr>
        <w:t xml:space="preserve">had “direct knowledge” of the fraud and </w:t>
      </w:r>
      <w:r w:rsidR="00213E95">
        <w:rPr>
          <w:rFonts w:ascii="Times New Roman" w:eastAsia="Times New Roman" w:hAnsi="Times New Roman" w:cs="Times New Roman"/>
          <w:sz w:val="24"/>
          <w:szCs w:val="24"/>
          <w:lang w:val="en-US"/>
        </w:rPr>
        <w:t>was an original source</w:t>
      </w:r>
      <w:r w:rsidR="008E3431">
        <w:rPr>
          <w:rFonts w:ascii="Times New Roman" w:eastAsia="Times New Roman" w:hAnsi="Times New Roman" w:cs="Times New Roman"/>
          <w:sz w:val="24"/>
          <w:szCs w:val="24"/>
          <w:lang w:val="en-US"/>
        </w:rPr>
        <w:t>.</w:t>
      </w:r>
      <w:r w:rsidR="00213E95">
        <w:rPr>
          <w:rStyle w:val="FootnoteReference"/>
          <w:rFonts w:ascii="Times New Roman" w:eastAsia="Times New Roman" w:hAnsi="Times New Roman" w:cs="Times New Roman"/>
          <w:sz w:val="24"/>
          <w:szCs w:val="24"/>
          <w:lang w:val="en-US"/>
        </w:rPr>
        <w:footnoteReference w:id="74"/>
      </w:r>
      <w:r w:rsidR="00213E95">
        <w:rPr>
          <w:rFonts w:ascii="Times New Roman" w:eastAsia="Times New Roman" w:hAnsi="Times New Roman" w:cs="Times New Roman"/>
          <w:sz w:val="24"/>
          <w:szCs w:val="24"/>
          <w:lang w:val="en-US"/>
        </w:rPr>
        <w:t xml:space="preserve"> </w:t>
      </w:r>
      <w:r w:rsidR="003A0293">
        <w:rPr>
          <w:rFonts w:ascii="Times New Roman" w:eastAsia="Times New Roman" w:hAnsi="Times New Roman" w:cs="Times New Roman"/>
          <w:sz w:val="24"/>
          <w:szCs w:val="24"/>
          <w:lang w:val="en-US"/>
        </w:rPr>
        <w:t>The court acknowledged that</w:t>
      </w:r>
      <w:r w:rsidR="00A8094B">
        <w:rPr>
          <w:rFonts w:ascii="Times New Roman" w:eastAsia="Times New Roman" w:hAnsi="Times New Roman" w:cs="Times New Roman"/>
          <w:sz w:val="24"/>
          <w:szCs w:val="24"/>
          <w:lang w:val="en-US"/>
        </w:rPr>
        <w:t xml:space="preserve"> Congress </w:t>
      </w:r>
      <w:r w:rsidR="00C17B31">
        <w:rPr>
          <w:rFonts w:ascii="Times New Roman" w:eastAsia="Times New Roman" w:hAnsi="Times New Roman" w:cs="Times New Roman"/>
          <w:sz w:val="24"/>
          <w:szCs w:val="24"/>
          <w:lang w:val="en-US"/>
        </w:rPr>
        <w:t>enact</w:t>
      </w:r>
      <w:r w:rsidR="003A0293">
        <w:rPr>
          <w:rFonts w:ascii="Times New Roman" w:eastAsia="Times New Roman" w:hAnsi="Times New Roman" w:cs="Times New Roman"/>
          <w:sz w:val="24"/>
          <w:szCs w:val="24"/>
          <w:lang w:val="en-US"/>
        </w:rPr>
        <w:t>ed</w:t>
      </w:r>
      <w:r w:rsidR="00C17B31">
        <w:rPr>
          <w:rFonts w:ascii="Times New Roman" w:eastAsia="Times New Roman" w:hAnsi="Times New Roman" w:cs="Times New Roman"/>
          <w:sz w:val="24"/>
          <w:szCs w:val="24"/>
          <w:lang w:val="en-US"/>
        </w:rPr>
        <w:t xml:space="preserve"> the </w:t>
      </w:r>
      <w:r w:rsidR="003A0293">
        <w:rPr>
          <w:rFonts w:ascii="Times New Roman" w:eastAsia="Times New Roman" w:hAnsi="Times New Roman" w:cs="Times New Roman"/>
          <w:sz w:val="24"/>
          <w:szCs w:val="24"/>
          <w:lang w:val="en-US"/>
        </w:rPr>
        <w:t>FCA</w:t>
      </w:r>
      <w:r w:rsidR="00C17B31">
        <w:rPr>
          <w:rFonts w:ascii="Times New Roman" w:eastAsia="Times New Roman" w:hAnsi="Times New Roman" w:cs="Times New Roman"/>
          <w:sz w:val="24"/>
          <w:szCs w:val="24"/>
          <w:lang w:val="en-US"/>
        </w:rPr>
        <w:t xml:space="preserve"> “</w:t>
      </w:r>
      <w:r w:rsidR="00A8094B">
        <w:rPr>
          <w:rFonts w:ascii="Times New Roman" w:eastAsia="Times New Roman" w:hAnsi="Times New Roman" w:cs="Times New Roman"/>
          <w:sz w:val="24"/>
          <w:szCs w:val="24"/>
          <w:lang w:val="en-US"/>
        </w:rPr>
        <w:t xml:space="preserve">to </w:t>
      </w:r>
      <w:r w:rsidR="00A8094B" w:rsidRPr="00A8094B">
        <w:rPr>
          <w:rFonts w:ascii="Times New Roman" w:eastAsia="Times New Roman" w:hAnsi="Times New Roman" w:cs="Times New Roman"/>
          <w:sz w:val="24"/>
          <w:szCs w:val="24"/>
          <w:lang w:val="en-US"/>
        </w:rPr>
        <w:t>preclude parasitic claims</w:t>
      </w:r>
      <w:r w:rsidR="003A0293">
        <w:rPr>
          <w:rFonts w:ascii="Times New Roman" w:eastAsia="Times New Roman" w:hAnsi="Times New Roman" w:cs="Times New Roman"/>
          <w:sz w:val="24"/>
          <w:szCs w:val="24"/>
          <w:lang w:val="en-US"/>
        </w:rPr>
        <w:t>,</w:t>
      </w:r>
      <w:r w:rsidR="00A8094B">
        <w:rPr>
          <w:rFonts w:ascii="Times New Roman" w:eastAsia="Times New Roman" w:hAnsi="Times New Roman" w:cs="Times New Roman"/>
          <w:sz w:val="24"/>
          <w:szCs w:val="24"/>
          <w:lang w:val="en-US"/>
        </w:rPr>
        <w:t xml:space="preserve">” </w:t>
      </w:r>
      <w:r w:rsidR="003A0293">
        <w:rPr>
          <w:rFonts w:ascii="Times New Roman" w:eastAsia="Times New Roman" w:hAnsi="Times New Roman" w:cs="Times New Roman"/>
          <w:sz w:val="24"/>
          <w:szCs w:val="24"/>
          <w:lang w:val="en-US"/>
        </w:rPr>
        <w:t xml:space="preserve">not to </w:t>
      </w:r>
      <w:r w:rsidR="003A0293">
        <w:rPr>
          <w:rFonts w:ascii="Times New Roman" w:eastAsia="Times New Roman" w:hAnsi="Times New Roman" w:cs="Times New Roman"/>
          <w:sz w:val="24"/>
          <w:szCs w:val="24"/>
        </w:rPr>
        <w:t>“</w:t>
      </w:r>
      <w:r w:rsidR="003A0293" w:rsidRPr="003A0293">
        <w:rPr>
          <w:rFonts w:ascii="Times New Roman" w:eastAsia="Times New Roman" w:hAnsi="Times New Roman" w:cs="Times New Roman"/>
          <w:sz w:val="24"/>
          <w:szCs w:val="24"/>
        </w:rPr>
        <w:t>reward as original sources only those who participated in the fraud</w:t>
      </w:r>
      <w:r w:rsidR="003A0293">
        <w:rPr>
          <w:rFonts w:ascii="Times New Roman" w:eastAsia="Times New Roman" w:hAnsi="Times New Roman" w:cs="Times New Roman"/>
          <w:sz w:val="24"/>
          <w:szCs w:val="24"/>
        </w:rPr>
        <w:t>.”</w:t>
      </w:r>
      <w:r w:rsidR="00A8094B">
        <w:rPr>
          <w:rStyle w:val="FootnoteReference"/>
          <w:rFonts w:ascii="Times New Roman" w:eastAsia="Times New Roman" w:hAnsi="Times New Roman" w:cs="Times New Roman"/>
          <w:sz w:val="24"/>
          <w:szCs w:val="24"/>
          <w:lang w:val="en-US"/>
        </w:rPr>
        <w:footnoteReference w:id="75"/>
      </w:r>
    </w:p>
    <w:p w14:paraId="688A49B7" w14:textId="4E733E11" w:rsidR="00B01382" w:rsidRDefault="00B01382" w:rsidP="001261E1">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response to various other district court orders dismissing </w:t>
      </w:r>
      <w:r w:rsidRPr="00C17B31">
        <w:rPr>
          <w:rFonts w:ascii="Times New Roman" w:eastAsia="Times New Roman" w:hAnsi="Times New Roman" w:cs="Times New Roman"/>
          <w:i/>
          <w:sz w:val="24"/>
          <w:szCs w:val="24"/>
        </w:rPr>
        <w:t>qui tam</w:t>
      </w:r>
      <w:r>
        <w:rPr>
          <w:rFonts w:ascii="Times New Roman" w:eastAsia="Times New Roman" w:hAnsi="Times New Roman" w:cs="Times New Roman"/>
          <w:sz w:val="24"/>
          <w:szCs w:val="24"/>
        </w:rPr>
        <w:t xml:space="preserve"> action</w:t>
      </w:r>
      <w:r w:rsidR="004B520F">
        <w:rPr>
          <w:rFonts w:ascii="Times New Roman" w:eastAsia="Times New Roman" w:hAnsi="Times New Roman" w:cs="Times New Roman"/>
          <w:sz w:val="24"/>
          <w:szCs w:val="24"/>
        </w:rPr>
        <w:t>s on</w:t>
      </w:r>
      <w:r>
        <w:rPr>
          <w:rFonts w:ascii="Times New Roman" w:eastAsia="Times New Roman" w:hAnsi="Times New Roman" w:cs="Times New Roman"/>
          <w:sz w:val="24"/>
          <w:szCs w:val="24"/>
        </w:rPr>
        <w:t xml:space="preserve"> public disclosure </w:t>
      </w:r>
      <w:r w:rsidR="004B520F">
        <w:rPr>
          <w:rFonts w:ascii="Times New Roman" w:eastAsia="Times New Roman" w:hAnsi="Times New Roman" w:cs="Times New Roman"/>
          <w:sz w:val="24"/>
          <w:szCs w:val="24"/>
        </w:rPr>
        <w:t>grounds</w:t>
      </w:r>
      <w:r>
        <w:rPr>
          <w:rFonts w:ascii="Times New Roman" w:eastAsia="Times New Roman" w:hAnsi="Times New Roman" w:cs="Times New Roman"/>
          <w:sz w:val="24"/>
          <w:szCs w:val="24"/>
        </w:rPr>
        <w:t xml:space="preserve">, </w:t>
      </w:r>
      <w:r w:rsidR="004B520F">
        <w:rPr>
          <w:rFonts w:ascii="Times New Roman" w:eastAsia="Times New Roman" w:hAnsi="Times New Roman" w:cs="Times New Roman"/>
          <w:sz w:val="24"/>
          <w:szCs w:val="24"/>
        </w:rPr>
        <w:t>TAFEF</w:t>
      </w:r>
      <w:r>
        <w:rPr>
          <w:rFonts w:ascii="Times New Roman" w:eastAsia="Times New Roman" w:hAnsi="Times New Roman" w:cs="Times New Roman"/>
          <w:sz w:val="24"/>
          <w:szCs w:val="24"/>
        </w:rPr>
        <w:t xml:space="preserve"> filed </w:t>
      </w:r>
      <w:r w:rsidR="004B520F">
        <w:rPr>
          <w:rFonts w:ascii="Times New Roman" w:eastAsia="Times New Roman" w:hAnsi="Times New Roman" w:cs="Times New Roman"/>
          <w:sz w:val="24"/>
          <w:szCs w:val="24"/>
        </w:rPr>
        <w:t>several</w:t>
      </w:r>
      <w:r w:rsidR="009723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4B520F" w:rsidRPr="001261E1">
        <w:rPr>
          <w:rFonts w:ascii="Times New Roman" w:eastAsia="Times New Roman" w:hAnsi="Times New Roman" w:cs="Times New Roman"/>
          <w:i/>
          <w:sz w:val="24"/>
          <w:szCs w:val="24"/>
        </w:rPr>
        <w:t>a</w:t>
      </w:r>
      <w:r w:rsidRPr="001261E1">
        <w:rPr>
          <w:rFonts w:ascii="Times New Roman" w:eastAsia="Times New Roman" w:hAnsi="Times New Roman" w:cs="Times New Roman"/>
          <w:i/>
          <w:sz w:val="24"/>
          <w:szCs w:val="24"/>
        </w:rPr>
        <w:t xml:space="preserve">micus </w:t>
      </w:r>
      <w:r w:rsidR="004B520F" w:rsidRPr="001261E1">
        <w:rPr>
          <w:rFonts w:ascii="Times New Roman" w:eastAsia="Times New Roman" w:hAnsi="Times New Roman" w:cs="Times New Roman"/>
          <w:i/>
          <w:sz w:val="24"/>
          <w:szCs w:val="24"/>
        </w:rPr>
        <w:t>c</w:t>
      </w:r>
      <w:r w:rsidRPr="001261E1">
        <w:rPr>
          <w:rFonts w:ascii="Times New Roman" w:eastAsia="Times New Roman" w:hAnsi="Times New Roman" w:cs="Times New Roman"/>
          <w:i/>
          <w:sz w:val="24"/>
          <w:szCs w:val="24"/>
        </w:rPr>
        <w:t>uriae</w:t>
      </w:r>
      <w:r>
        <w:rPr>
          <w:rFonts w:ascii="Times New Roman" w:eastAsia="Times New Roman" w:hAnsi="Times New Roman" w:cs="Times New Roman"/>
          <w:sz w:val="24"/>
          <w:szCs w:val="24"/>
        </w:rPr>
        <w:t xml:space="preserve"> briefs </w:t>
      </w:r>
      <w:r w:rsidR="004B520F">
        <w:rPr>
          <w:rFonts w:ascii="Times New Roman" w:eastAsia="Times New Roman" w:hAnsi="Times New Roman" w:cs="Times New Roman"/>
          <w:sz w:val="24"/>
          <w:szCs w:val="24"/>
        </w:rPr>
        <w:t>on the</w:t>
      </w:r>
      <w:r>
        <w:rPr>
          <w:rFonts w:ascii="Times New Roman" w:eastAsia="Times New Roman" w:hAnsi="Times New Roman" w:cs="Times New Roman"/>
          <w:sz w:val="24"/>
          <w:szCs w:val="24"/>
        </w:rPr>
        <w:t xml:space="preserve"> proper interpretation </w:t>
      </w:r>
      <w:r w:rsidR="004B520F">
        <w:rPr>
          <w:rFonts w:ascii="Times New Roman" w:eastAsia="Times New Roman" w:hAnsi="Times New Roman" w:cs="Times New Roman"/>
          <w:sz w:val="24"/>
          <w:szCs w:val="24"/>
        </w:rPr>
        <w:t>of this provision in 2020</w:t>
      </w:r>
      <w:r>
        <w:rPr>
          <w:rFonts w:ascii="Times New Roman" w:eastAsia="Times New Roman" w:hAnsi="Times New Roman" w:cs="Times New Roman"/>
          <w:sz w:val="24"/>
          <w:szCs w:val="24"/>
        </w:rPr>
        <w:t xml:space="preserve">. These briefs have been filed in the Ninth Circuit in </w:t>
      </w:r>
      <w:r>
        <w:rPr>
          <w:rFonts w:ascii="Times New Roman" w:eastAsia="Times New Roman" w:hAnsi="Times New Roman" w:cs="Times New Roman"/>
          <w:i/>
          <w:sz w:val="24"/>
          <w:szCs w:val="24"/>
        </w:rPr>
        <w:t>U</w:t>
      </w:r>
      <w:r w:rsidR="004B520F">
        <w:rPr>
          <w:rFonts w:ascii="Times New Roman" w:eastAsia="Times New Roman" w:hAnsi="Times New Roman" w:cs="Times New Roman"/>
          <w:i/>
          <w:sz w:val="24"/>
          <w:szCs w:val="24"/>
        </w:rPr>
        <w:t>nited States</w:t>
      </w:r>
      <w:r>
        <w:rPr>
          <w:rFonts w:ascii="Times New Roman" w:eastAsia="Times New Roman" w:hAnsi="Times New Roman" w:cs="Times New Roman"/>
          <w:i/>
          <w:sz w:val="24"/>
          <w:szCs w:val="24"/>
        </w:rPr>
        <w:t xml:space="preserve"> ex rel. </w:t>
      </w:r>
      <w:r>
        <w:rPr>
          <w:rFonts w:ascii="Times New Roman" w:eastAsia="Times New Roman" w:hAnsi="Times New Roman" w:cs="Times New Roman"/>
          <w:i/>
          <w:sz w:val="24"/>
          <w:szCs w:val="24"/>
        </w:rPr>
        <w:lastRenderedPageBreak/>
        <w:t>Silbersher v. Valeant Pharm.</w:t>
      </w:r>
      <w:r>
        <w:rPr>
          <w:rFonts w:ascii="Times New Roman" w:eastAsia="Times New Roman" w:hAnsi="Times New Roman" w:cs="Times New Roman"/>
          <w:sz w:val="24"/>
          <w:szCs w:val="24"/>
        </w:rPr>
        <w:t xml:space="preserve">, in the Ninth Circuit in </w:t>
      </w:r>
      <w:r w:rsidR="004B520F">
        <w:rPr>
          <w:rFonts w:ascii="Times New Roman" w:eastAsia="Times New Roman" w:hAnsi="Times New Roman" w:cs="Times New Roman"/>
          <w:i/>
          <w:sz w:val="24"/>
          <w:szCs w:val="24"/>
        </w:rPr>
        <w:t>United States</w:t>
      </w:r>
      <w:r>
        <w:rPr>
          <w:rFonts w:ascii="Times New Roman" w:eastAsia="Times New Roman" w:hAnsi="Times New Roman" w:cs="Times New Roman"/>
          <w:i/>
          <w:sz w:val="24"/>
          <w:szCs w:val="24"/>
        </w:rPr>
        <w:t xml:space="preserve"> ex rel. Integra Med Analytics v. Providence Health &amp; Serv</w:t>
      </w:r>
      <w:r w:rsidR="004B520F">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in the Massachusetts Supreme Court in </w:t>
      </w:r>
      <w:r>
        <w:rPr>
          <w:rFonts w:ascii="Times New Roman" w:eastAsia="Times New Roman" w:hAnsi="Times New Roman" w:cs="Times New Roman"/>
          <w:i/>
          <w:sz w:val="24"/>
          <w:szCs w:val="24"/>
        </w:rPr>
        <w:t>Commonwealth of Mass</w:t>
      </w:r>
      <w:r w:rsidR="004B520F">
        <w:rPr>
          <w:rFonts w:ascii="Times New Roman" w:eastAsia="Times New Roman" w:hAnsi="Times New Roman" w:cs="Times New Roman"/>
          <w:i/>
          <w:sz w:val="24"/>
          <w:szCs w:val="24"/>
        </w:rPr>
        <w:t>achusetts</w:t>
      </w:r>
      <w:r>
        <w:rPr>
          <w:rFonts w:ascii="Times New Roman" w:eastAsia="Times New Roman" w:hAnsi="Times New Roman" w:cs="Times New Roman"/>
          <w:i/>
          <w:sz w:val="24"/>
          <w:szCs w:val="24"/>
        </w:rPr>
        <w:t xml:space="preserve"> ex rel. Rosenberg v. JPMorgan Chase et al.</w:t>
      </w:r>
      <w:r>
        <w:rPr>
          <w:rFonts w:ascii="Times New Roman" w:eastAsia="Times New Roman" w:hAnsi="Times New Roman" w:cs="Times New Roman"/>
          <w:sz w:val="24"/>
          <w:szCs w:val="24"/>
        </w:rPr>
        <w:t xml:space="preserve">, and in the Sixth Circuit in </w:t>
      </w:r>
      <w:r w:rsidR="004B520F">
        <w:rPr>
          <w:rFonts w:ascii="Times New Roman" w:eastAsia="Times New Roman" w:hAnsi="Times New Roman" w:cs="Times New Roman"/>
          <w:i/>
          <w:sz w:val="24"/>
          <w:szCs w:val="24"/>
        </w:rPr>
        <w:t>United States</w:t>
      </w:r>
      <w:r>
        <w:rPr>
          <w:rFonts w:ascii="Times New Roman" w:eastAsia="Times New Roman" w:hAnsi="Times New Roman" w:cs="Times New Roman"/>
          <w:i/>
          <w:sz w:val="24"/>
          <w:szCs w:val="24"/>
        </w:rPr>
        <w:t xml:space="preserve"> ex rel. Rahimi v. Rite Aid</w:t>
      </w:r>
      <w:r>
        <w:rPr>
          <w:rFonts w:ascii="Times New Roman" w:eastAsia="Times New Roman" w:hAnsi="Times New Roman" w:cs="Times New Roman"/>
          <w:sz w:val="24"/>
          <w:szCs w:val="24"/>
        </w:rPr>
        <w:t xml:space="preserve">. </w:t>
      </w:r>
    </w:p>
    <w:p w14:paraId="7858CC55" w14:textId="56144DF5" w:rsidR="001F04A2" w:rsidRPr="00394636" w:rsidRDefault="007E2428" w:rsidP="00394636">
      <w:pPr>
        <w:pStyle w:val="Heading2"/>
        <w:numPr>
          <w:ilvl w:val="0"/>
          <w:numId w:val="5"/>
        </w:numPr>
        <w:spacing w:line="480" w:lineRule="auto"/>
        <w:rPr>
          <w:rFonts w:ascii="Times New Roman" w:hAnsi="Times New Roman" w:cs="Times New Roman"/>
          <w:b/>
        </w:rPr>
      </w:pPr>
      <w:r w:rsidRPr="00394636">
        <w:rPr>
          <w:rFonts w:ascii="Times New Roman" w:hAnsi="Times New Roman" w:cs="Times New Roman"/>
          <w:b/>
        </w:rPr>
        <w:t>First-to-File</w:t>
      </w:r>
      <w:r w:rsidR="00FD6661" w:rsidRPr="00394636">
        <w:rPr>
          <w:rFonts w:ascii="Times New Roman" w:hAnsi="Times New Roman" w:cs="Times New Roman"/>
          <w:b/>
        </w:rPr>
        <w:t xml:space="preserve"> Bar</w:t>
      </w:r>
    </w:p>
    <w:p w14:paraId="247D6510" w14:textId="6F67ABF5" w:rsidR="00F57259" w:rsidRPr="001F04A2" w:rsidRDefault="00670380" w:rsidP="001261E1">
      <w:pPr>
        <w:spacing w:line="480" w:lineRule="auto"/>
        <w:ind w:firstLine="36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 xml:space="preserve">In </w:t>
      </w:r>
      <w:r w:rsidRPr="00B367DA">
        <w:rPr>
          <w:rFonts w:ascii="Times New Roman" w:eastAsia="Times New Roman" w:hAnsi="Times New Roman" w:cs="Times New Roman"/>
          <w:i/>
          <w:color w:val="000000" w:themeColor="text1"/>
          <w:sz w:val="24"/>
          <w:szCs w:val="24"/>
        </w:rPr>
        <w:t>In</w:t>
      </w:r>
      <w:r w:rsidR="00DE2357" w:rsidRPr="001F04A2">
        <w:rPr>
          <w:rFonts w:ascii="Times New Roman" w:eastAsia="Times New Roman" w:hAnsi="Times New Roman" w:cs="Times New Roman"/>
          <w:i/>
          <w:color w:val="000000" w:themeColor="text1"/>
          <w:sz w:val="24"/>
          <w:szCs w:val="24"/>
          <w:lang w:val="en-US"/>
        </w:rPr>
        <w:t xml:space="preserve"> Re: </w:t>
      </w:r>
      <w:r w:rsidR="00DE2357" w:rsidRPr="001F04A2">
        <w:rPr>
          <w:rFonts w:ascii="Times New Roman" w:eastAsia="Times New Roman" w:hAnsi="Times New Roman" w:cs="Times New Roman"/>
          <w:bCs/>
          <w:i/>
          <w:color w:val="000000" w:themeColor="text1"/>
          <w:sz w:val="24"/>
          <w:szCs w:val="24"/>
          <w:lang w:val="en-US"/>
        </w:rPr>
        <w:t>Plavix</w:t>
      </w:r>
      <w:r w:rsidR="00DE2357" w:rsidRPr="001F04A2">
        <w:rPr>
          <w:rFonts w:ascii="Times New Roman" w:eastAsia="Times New Roman" w:hAnsi="Times New Roman" w:cs="Times New Roman"/>
          <w:i/>
          <w:color w:val="000000" w:themeColor="text1"/>
          <w:sz w:val="24"/>
          <w:szCs w:val="24"/>
          <w:lang w:val="en-US"/>
        </w:rPr>
        <w:t xml:space="preserve"> Marketing, Sales Practices </w:t>
      </w:r>
      <w:r w:rsidR="00972374">
        <w:rPr>
          <w:rFonts w:ascii="Times New Roman" w:eastAsia="Times New Roman" w:hAnsi="Times New Roman" w:cs="Times New Roman"/>
          <w:i/>
          <w:color w:val="000000" w:themeColor="text1"/>
          <w:sz w:val="24"/>
          <w:szCs w:val="24"/>
          <w:lang w:val="en-US"/>
        </w:rPr>
        <w:t>a</w:t>
      </w:r>
      <w:r w:rsidR="00DE2357" w:rsidRPr="001F04A2">
        <w:rPr>
          <w:rFonts w:ascii="Times New Roman" w:eastAsia="Times New Roman" w:hAnsi="Times New Roman" w:cs="Times New Roman"/>
          <w:i/>
          <w:color w:val="000000" w:themeColor="text1"/>
          <w:sz w:val="24"/>
          <w:szCs w:val="24"/>
          <w:lang w:val="en-US"/>
        </w:rPr>
        <w:t>nd Products Liability Litigation (No. II)</w:t>
      </w:r>
      <w:r>
        <w:rPr>
          <w:rFonts w:ascii="Times New Roman" w:eastAsia="Times New Roman" w:hAnsi="Times New Roman" w:cs="Times New Roman"/>
          <w:color w:val="000000" w:themeColor="text1"/>
          <w:sz w:val="24"/>
          <w:szCs w:val="24"/>
          <w:lang w:val="en-US"/>
        </w:rPr>
        <w:t>,</w:t>
      </w:r>
      <w:r w:rsidR="00DE2357" w:rsidRPr="001261E1">
        <w:rPr>
          <w:rStyle w:val="FootnoteReference"/>
          <w:rFonts w:ascii="Times New Roman" w:eastAsia="Times New Roman" w:hAnsi="Times New Roman" w:cs="Times New Roman"/>
          <w:color w:val="000000" w:themeColor="text1"/>
          <w:sz w:val="24"/>
          <w:szCs w:val="24"/>
          <w:lang w:val="en-US"/>
        </w:rPr>
        <w:footnoteReference w:id="76"/>
      </w:r>
      <w:r w:rsidR="001566E8" w:rsidRPr="001F04A2">
        <w:rPr>
          <w:rFonts w:ascii="Times New Roman" w:eastAsia="Times New Roman" w:hAnsi="Times New Roman" w:cs="Times New Roman"/>
          <w:i/>
          <w:color w:val="000000" w:themeColor="text1"/>
          <w:sz w:val="24"/>
          <w:szCs w:val="24"/>
          <w:lang w:val="en-US"/>
        </w:rPr>
        <w:t xml:space="preserve"> </w:t>
      </w:r>
      <w:r w:rsidR="00972374">
        <w:rPr>
          <w:rFonts w:ascii="Times New Roman" w:eastAsia="Times New Roman" w:hAnsi="Times New Roman" w:cs="Times New Roman"/>
          <w:color w:val="000000" w:themeColor="text1"/>
          <w:sz w:val="24"/>
          <w:szCs w:val="24"/>
          <w:lang w:val="en-US"/>
        </w:rPr>
        <w:t>the relator</w:t>
      </w:r>
      <w:r>
        <w:rPr>
          <w:rFonts w:ascii="Times New Roman" w:eastAsia="Times New Roman" w:hAnsi="Times New Roman" w:cs="Times New Roman"/>
          <w:color w:val="000000" w:themeColor="text1"/>
          <w:sz w:val="24"/>
          <w:szCs w:val="24"/>
          <w:lang w:val="en-US"/>
        </w:rPr>
        <w:t>-</w:t>
      </w:r>
      <w:r w:rsidR="00972374">
        <w:rPr>
          <w:rFonts w:ascii="Times New Roman" w:eastAsia="Times New Roman" w:hAnsi="Times New Roman" w:cs="Times New Roman"/>
          <w:color w:val="000000" w:themeColor="text1"/>
          <w:sz w:val="24"/>
          <w:szCs w:val="24"/>
          <w:lang w:val="en-US"/>
        </w:rPr>
        <w:t xml:space="preserve">partnership brought a </w:t>
      </w:r>
      <w:r w:rsidR="00972374" w:rsidRPr="001261E1">
        <w:rPr>
          <w:rFonts w:ascii="Times New Roman" w:eastAsia="Times New Roman" w:hAnsi="Times New Roman" w:cs="Times New Roman"/>
          <w:i/>
          <w:color w:val="000000" w:themeColor="text1"/>
          <w:sz w:val="24"/>
          <w:szCs w:val="24"/>
          <w:lang w:val="en-US"/>
        </w:rPr>
        <w:t>qui tam</w:t>
      </w:r>
      <w:r w:rsidR="00972374">
        <w:rPr>
          <w:rFonts w:ascii="Times New Roman" w:eastAsia="Times New Roman" w:hAnsi="Times New Roman" w:cs="Times New Roman"/>
          <w:color w:val="000000" w:themeColor="text1"/>
          <w:sz w:val="24"/>
          <w:szCs w:val="24"/>
          <w:lang w:val="en-US"/>
        </w:rPr>
        <w:t xml:space="preserve"> action against two pharmaceutical companies alleging off-label marketing in violation of the FCA.  After the complaint was </w:t>
      </w:r>
      <w:r>
        <w:rPr>
          <w:rFonts w:ascii="Times New Roman" w:eastAsia="Times New Roman" w:hAnsi="Times New Roman" w:cs="Times New Roman"/>
          <w:color w:val="000000" w:themeColor="text1"/>
          <w:sz w:val="24"/>
          <w:szCs w:val="24"/>
          <w:lang w:val="en-US"/>
        </w:rPr>
        <w:t xml:space="preserve">filed, </w:t>
      </w:r>
      <w:r w:rsidRPr="001F04A2">
        <w:rPr>
          <w:rFonts w:ascii="Times New Roman" w:eastAsia="Times New Roman" w:hAnsi="Times New Roman" w:cs="Times New Roman"/>
          <w:color w:val="000000" w:themeColor="text1"/>
          <w:sz w:val="24"/>
          <w:szCs w:val="24"/>
          <w:lang w:val="en-US"/>
        </w:rPr>
        <w:t>an</w:t>
      </w:r>
      <w:r w:rsidR="00972374">
        <w:rPr>
          <w:rFonts w:ascii="Times New Roman" w:eastAsia="Times New Roman" w:hAnsi="Times New Roman" w:cs="Times New Roman"/>
          <w:color w:val="000000" w:themeColor="text1"/>
          <w:sz w:val="24"/>
          <w:szCs w:val="24"/>
          <w:lang w:val="en-US"/>
        </w:rPr>
        <w:t xml:space="preserve"> outside</w:t>
      </w:r>
      <w:r>
        <w:rPr>
          <w:rFonts w:ascii="Times New Roman" w:eastAsia="Times New Roman" w:hAnsi="Times New Roman" w:cs="Times New Roman"/>
          <w:color w:val="000000" w:themeColor="text1"/>
          <w:sz w:val="24"/>
          <w:szCs w:val="24"/>
          <w:lang w:val="en-US"/>
        </w:rPr>
        <w:t>-</w:t>
      </w:r>
      <w:r w:rsidR="009A0EEE">
        <w:rPr>
          <w:rFonts w:ascii="Times New Roman" w:eastAsia="Times New Roman" w:hAnsi="Times New Roman" w:cs="Times New Roman"/>
          <w:color w:val="000000" w:themeColor="text1"/>
          <w:sz w:val="24"/>
          <w:szCs w:val="24"/>
          <w:lang w:val="en-US"/>
        </w:rPr>
        <w:t>relator replaced</w:t>
      </w:r>
      <w:r w:rsidR="001566E8" w:rsidRPr="001F04A2">
        <w:rPr>
          <w:rFonts w:ascii="Times New Roman" w:eastAsia="Times New Roman" w:hAnsi="Times New Roman" w:cs="Times New Roman"/>
          <w:color w:val="000000" w:themeColor="text1"/>
          <w:sz w:val="24"/>
          <w:szCs w:val="24"/>
          <w:lang w:val="en-US"/>
        </w:rPr>
        <w:t xml:space="preserve"> </w:t>
      </w:r>
      <w:r w:rsidR="00972374">
        <w:rPr>
          <w:rFonts w:ascii="Times New Roman" w:eastAsia="Times New Roman" w:hAnsi="Times New Roman" w:cs="Times New Roman"/>
          <w:color w:val="000000" w:themeColor="text1"/>
          <w:sz w:val="24"/>
          <w:szCs w:val="24"/>
          <w:lang w:val="en-US"/>
        </w:rPr>
        <w:t xml:space="preserve">one of the </w:t>
      </w:r>
      <w:r w:rsidR="00C943D2">
        <w:rPr>
          <w:rFonts w:ascii="Times New Roman" w:eastAsia="Times New Roman" w:hAnsi="Times New Roman" w:cs="Times New Roman"/>
          <w:color w:val="000000" w:themeColor="text1"/>
          <w:sz w:val="24"/>
          <w:szCs w:val="24"/>
          <w:lang w:val="en-US"/>
        </w:rPr>
        <w:t>relator’s in the partnership, and the district court granted the defendants’ motion to dismiss pursuant to the first-to-file rule, finding that the replacement of the partner resulted in a new partnership, and that the new partnership could not proceed with a case while the case filed by the original partnership was pending.</w:t>
      </w:r>
      <w:r w:rsidR="001566E8" w:rsidRPr="001F04A2">
        <w:rPr>
          <w:rFonts w:ascii="Times New Roman" w:eastAsia="Times New Roman" w:hAnsi="Times New Roman" w:cs="Times New Roman"/>
          <w:color w:val="000000" w:themeColor="text1"/>
          <w:sz w:val="24"/>
          <w:szCs w:val="24"/>
          <w:lang w:val="en-US"/>
        </w:rPr>
        <w:t xml:space="preserve"> </w:t>
      </w:r>
      <w:r w:rsidR="00C943D2">
        <w:rPr>
          <w:rFonts w:ascii="Times New Roman" w:eastAsia="Times New Roman" w:hAnsi="Times New Roman" w:cs="Times New Roman"/>
          <w:color w:val="000000" w:themeColor="text1"/>
          <w:sz w:val="24"/>
          <w:szCs w:val="24"/>
          <w:lang w:val="en-US"/>
        </w:rPr>
        <w:t xml:space="preserve"> The Third </w:t>
      </w:r>
      <w:r w:rsidR="001566E8" w:rsidRPr="001F04A2">
        <w:rPr>
          <w:rFonts w:ascii="Times New Roman" w:eastAsia="Times New Roman" w:hAnsi="Times New Roman" w:cs="Times New Roman"/>
          <w:color w:val="000000" w:themeColor="text1"/>
          <w:sz w:val="24"/>
          <w:szCs w:val="24"/>
          <w:lang w:val="en-US"/>
        </w:rPr>
        <w:t xml:space="preserve">Circuit vacated and remanded, </w:t>
      </w:r>
      <w:r w:rsidR="00154182">
        <w:rPr>
          <w:rFonts w:ascii="Times New Roman" w:eastAsia="Times New Roman" w:hAnsi="Times New Roman" w:cs="Times New Roman"/>
          <w:color w:val="000000" w:themeColor="text1"/>
          <w:sz w:val="24"/>
          <w:szCs w:val="24"/>
          <w:lang w:val="en-US"/>
        </w:rPr>
        <w:t>finding</w:t>
      </w:r>
      <w:r w:rsidR="00154182" w:rsidRPr="001F04A2">
        <w:rPr>
          <w:rFonts w:ascii="Times New Roman" w:eastAsia="Times New Roman" w:hAnsi="Times New Roman" w:cs="Times New Roman"/>
          <w:color w:val="000000" w:themeColor="text1"/>
          <w:sz w:val="24"/>
          <w:szCs w:val="24"/>
          <w:lang w:val="en-US"/>
        </w:rPr>
        <w:t xml:space="preserve"> </w:t>
      </w:r>
      <w:r w:rsidR="001566E8" w:rsidRPr="001F04A2">
        <w:rPr>
          <w:rFonts w:ascii="Times New Roman" w:eastAsia="Times New Roman" w:hAnsi="Times New Roman" w:cs="Times New Roman"/>
          <w:color w:val="000000" w:themeColor="text1"/>
          <w:sz w:val="24"/>
          <w:szCs w:val="24"/>
          <w:lang w:val="en-US"/>
        </w:rPr>
        <w:t xml:space="preserve">that the district court erred when determining what constitutes an intervention </w:t>
      </w:r>
      <w:r w:rsidR="00B06053">
        <w:rPr>
          <w:rFonts w:ascii="Times New Roman" w:eastAsia="Times New Roman" w:hAnsi="Times New Roman" w:cs="Times New Roman"/>
          <w:color w:val="000000" w:themeColor="text1"/>
          <w:sz w:val="24"/>
          <w:szCs w:val="24"/>
          <w:lang w:val="en-US"/>
        </w:rPr>
        <w:t>under</w:t>
      </w:r>
      <w:r w:rsidR="00206724" w:rsidRPr="001F04A2">
        <w:rPr>
          <w:rFonts w:ascii="Times New Roman" w:eastAsia="Times New Roman" w:hAnsi="Times New Roman" w:cs="Times New Roman"/>
          <w:color w:val="000000" w:themeColor="text1"/>
          <w:sz w:val="24"/>
          <w:szCs w:val="24"/>
          <w:lang w:val="en-US"/>
        </w:rPr>
        <w:t xml:space="preserve"> the first-to-file bar.</w:t>
      </w:r>
      <w:r w:rsidR="001566E8" w:rsidRPr="001F04A2">
        <w:rPr>
          <w:rStyle w:val="FootnoteReference"/>
          <w:rFonts w:ascii="Times New Roman" w:eastAsia="Times New Roman" w:hAnsi="Times New Roman" w:cs="Times New Roman"/>
          <w:color w:val="000000" w:themeColor="text1"/>
          <w:sz w:val="24"/>
          <w:szCs w:val="24"/>
          <w:lang w:val="en-US"/>
        </w:rPr>
        <w:footnoteReference w:id="77"/>
      </w:r>
      <w:r w:rsidR="001566E8" w:rsidRPr="001F04A2">
        <w:rPr>
          <w:rFonts w:ascii="Times New Roman" w:eastAsia="Times New Roman" w:hAnsi="Times New Roman" w:cs="Times New Roman"/>
          <w:color w:val="000000" w:themeColor="text1"/>
          <w:sz w:val="24"/>
          <w:szCs w:val="24"/>
          <w:lang w:val="en-US"/>
        </w:rPr>
        <w:t xml:space="preserve"> </w:t>
      </w:r>
      <w:r w:rsidR="008C4619" w:rsidRPr="001F04A2">
        <w:rPr>
          <w:rFonts w:ascii="Times New Roman" w:eastAsia="Times New Roman" w:hAnsi="Times New Roman" w:cs="Times New Roman"/>
          <w:color w:val="000000" w:themeColor="text1"/>
          <w:sz w:val="24"/>
          <w:szCs w:val="24"/>
          <w:lang w:val="en-US"/>
        </w:rPr>
        <w:t xml:space="preserve">The </w:t>
      </w:r>
      <w:r w:rsidR="00B06053">
        <w:rPr>
          <w:rFonts w:ascii="Times New Roman" w:eastAsia="Times New Roman" w:hAnsi="Times New Roman" w:cs="Times New Roman"/>
          <w:color w:val="000000" w:themeColor="text1"/>
          <w:sz w:val="24"/>
          <w:szCs w:val="24"/>
          <w:lang w:val="en-US"/>
        </w:rPr>
        <w:t>circuit</w:t>
      </w:r>
      <w:r w:rsidR="00B06053" w:rsidRPr="001F04A2">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 xml:space="preserve">court </w:t>
      </w:r>
      <w:r w:rsidRPr="001F04A2">
        <w:rPr>
          <w:rFonts w:ascii="Times New Roman" w:eastAsia="Times New Roman" w:hAnsi="Times New Roman" w:cs="Times New Roman"/>
          <w:color w:val="000000" w:themeColor="text1"/>
          <w:sz w:val="24"/>
          <w:szCs w:val="24"/>
          <w:lang w:val="en-US"/>
        </w:rPr>
        <w:t>concluded</w:t>
      </w:r>
      <w:r w:rsidR="008C4619" w:rsidRPr="001F04A2">
        <w:rPr>
          <w:rFonts w:ascii="Times New Roman" w:eastAsia="Times New Roman" w:hAnsi="Times New Roman" w:cs="Times New Roman"/>
          <w:color w:val="000000" w:themeColor="text1"/>
          <w:sz w:val="24"/>
          <w:szCs w:val="24"/>
          <w:lang w:val="en-US"/>
        </w:rPr>
        <w:t xml:space="preserve"> that the first-to-file </w:t>
      </w:r>
      <w:r w:rsidR="00B06053">
        <w:rPr>
          <w:rFonts w:ascii="Times New Roman" w:eastAsia="Times New Roman" w:hAnsi="Times New Roman" w:cs="Times New Roman"/>
          <w:color w:val="000000" w:themeColor="text1"/>
          <w:sz w:val="24"/>
          <w:szCs w:val="24"/>
          <w:lang w:val="en-US"/>
        </w:rPr>
        <w:t>provision</w:t>
      </w:r>
      <w:r w:rsidR="00B06053" w:rsidRPr="001F04A2">
        <w:rPr>
          <w:rFonts w:ascii="Times New Roman" w:eastAsia="Times New Roman" w:hAnsi="Times New Roman" w:cs="Times New Roman"/>
          <w:color w:val="000000" w:themeColor="text1"/>
          <w:sz w:val="24"/>
          <w:szCs w:val="24"/>
          <w:lang w:val="en-US"/>
        </w:rPr>
        <w:t xml:space="preserve"> </w:t>
      </w:r>
      <w:r w:rsidR="00B06053">
        <w:rPr>
          <w:rFonts w:ascii="Times New Roman" w:eastAsia="Times New Roman" w:hAnsi="Times New Roman" w:cs="Times New Roman"/>
          <w:color w:val="000000" w:themeColor="text1"/>
          <w:sz w:val="24"/>
          <w:szCs w:val="24"/>
          <w:lang w:val="en-US"/>
        </w:rPr>
        <w:t>barred</w:t>
      </w:r>
      <w:r w:rsidR="008C4619" w:rsidRPr="001F04A2">
        <w:rPr>
          <w:rFonts w:ascii="Times New Roman" w:eastAsia="Times New Roman" w:hAnsi="Times New Roman" w:cs="Times New Roman"/>
          <w:color w:val="000000" w:themeColor="text1"/>
          <w:sz w:val="24"/>
          <w:szCs w:val="24"/>
          <w:lang w:val="en-US"/>
        </w:rPr>
        <w:t xml:space="preserve"> the bringing of a new action on the same facts, but not other methods of joining an existing case like joinder, substitution of parties, or amendment of a complaint.”</w:t>
      </w:r>
      <w:r w:rsidR="008C4619" w:rsidRPr="001F04A2">
        <w:rPr>
          <w:rStyle w:val="FootnoteReference"/>
          <w:rFonts w:ascii="Times New Roman" w:eastAsia="Times New Roman" w:hAnsi="Times New Roman" w:cs="Times New Roman"/>
          <w:color w:val="000000" w:themeColor="text1"/>
          <w:sz w:val="24"/>
          <w:szCs w:val="24"/>
          <w:lang w:val="en-US"/>
        </w:rPr>
        <w:footnoteReference w:id="78"/>
      </w:r>
      <w:r w:rsidR="008C4619" w:rsidRPr="001F04A2">
        <w:rPr>
          <w:rFonts w:ascii="Times New Roman" w:eastAsia="Times New Roman" w:hAnsi="Times New Roman" w:cs="Times New Roman"/>
          <w:color w:val="000000" w:themeColor="text1"/>
          <w:sz w:val="24"/>
          <w:szCs w:val="24"/>
          <w:lang w:val="en-US"/>
        </w:rPr>
        <w:t xml:space="preserve"> </w:t>
      </w:r>
    </w:p>
    <w:p w14:paraId="008C77C6" w14:textId="39823E29" w:rsidR="00F57259" w:rsidRPr="001F04A2" w:rsidRDefault="00B06053" w:rsidP="008F1E23">
      <w:pPr>
        <w:spacing w:line="480" w:lineRule="auto"/>
        <w:ind w:firstLine="36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The Third Circuit also</w:t>
      </w:r>
      <w:r w:rsidR="008C4619" w:rsidRPr="001F04A2">
        <w:rPr>
          <w:rFonts w:ascii="Times New Roman" w:eastAsia="Times New Roman" w:hAnsi="Times New Roman" w:cs="Times New Roman"/>
          <w:color w:val="000000" w:themeColor="text1"/>
          <w:sz w:val="24"/>
          <w:szCs w:val="24"/>
          <w:lang w:val="en-US"/>
        </w:rPr>
        <w:t xml:space="preserve"> ruled that the </w:t>
      </w:r>
      <w:r w:rsidR="00E6789A" w:rsidRPr="001F04A2">
        <w:rPr>
          <w:rFonts w:ascii="Times New Roman" w:eastAsia="Times New Roman" w:hAnsi="Times New Roman" w:cs="Times New Roman"/>
          <w:color w:val="000000" w:themeColor="text1"/>
          <w:sz w:val="24"/>
          <w:szCs w:val="24"/>
          <w:lang w:val="en-US"/>
        </w:rPr>
        <w:t xml:space="preserve">first-to-file bar </w:t>
      </w:r>
      <w:r>
        <w:rPr>
          <w:rFonts w:ascii="Times New Roman" w:eastAsia="Times New Roman" w:hAnsi="Times New Roman" w:cs="Times New Roman"/>
          <w:color w:val="000000" w:themeColor="text1"/>
          <w:sz w:val="24"/>
          <w:szCs w:val="24"/>
          <w:lang w:val="en-US"/>
        </w:rPr>
        <w:t>wa</w:t>
      </w:r>
      <w:r w:rsidR="00E6789A" w:rsidRPr="001F04A2">
        <w:rPr>
          <w:rFonts w:ascii="Times New Roman" w:eastAsia="Times New Roman" w:hAnsi="Times New Roman" w:cs="Times New Roman"/>
          <w:color w:val="000000" w:themeColor="text1"/>
          <w:sz w:val="24"/>
          <w:szCs w:val="24"/>
          <w:lang w:val="en-US"/>
        </w:rPr>
        <w:t>s not jurisdictional</w:t>
      </w:r>
      <w:r w:rsidR="004137FB" w:rsidRPr="001F04A2">
        <w:rPr>
          <w:rFonts w:ascii="Times New Roman" w:eastAsia="Times New Roman" w:hAnsi="Times New Roman" w:cs="Times New Roman"/>
          <w:color w:val="000000" w:themeColor="text1"/>
          <w:sz w:val="24"/>
          <w:szCs w:val="24"/>
          <w:lang w:val="en-US"/>
        </w:rPr>
        <w:t>, noting that “if Congress had meant to make the first-to-file bar jurisdictional, it would have logically placed the bar in one of two other sections that mention jurisdiction</w:t>
      </w:r>
      <w:r w:rsidR="008C4619" w:rsidRPr="001F04A2">
        <w:rPr>
          <w:rFonts w:ascii="Times New Roman" w:eastAsia="Times New Roman" w:hAnsi="Times New Roman" w:cs="Times New Roman"/>
          <w:color w:val="000000" w:themeColor="text1"/>
          <w:sz w:val="24"/>
          <w:szCs w:val="24"/>
          <w:lang w:val="en-US"/>
        </w:rPr>
        <w:t>.</w:t>
      </w:r>
      <w:r w:rsidR="004137FB" w:rsidRPr="001F04A2">
        <w:rPr>
          <w:rFonts w:ascii="Times New Roman" w:eastAsia="Times New Roman" w:hAnsi="Times New Roman" w:cs="Times New Roman"/>
          <w:color w:val="000000" w:themeColor="text1"/>
          <w:sz w:val="24"/>
          <w:szCs w:val="24"/>
          <w:lang w:val="en-US"/>
        </w:rPr>
        <w:t>”</w:t>
      </w:r>
      <w:r w:rsidR="004137FB" w:rsidRPr="001F04A2">
        <w:rPr>
          <w:rStyle w:val="FootnoteReference"/>
          <w:rFonts w:ascii="Times New Roman" w:eastAsia="Times New Roman" w:hAnsi="Times New Roman" w:cs="Times New Roman"/>
          <w:color w:val="000000" w:themeColor="text1"/>
          <w:sz w:val="24"/>
          <w:szCs w:val="24"/>
          <w:lang w:val="en-US"/>
        </w:rPr>
        <w:footnoteReference w:id="79"/>
      </w:r>
      <w:r w:rsidR="008C4619" w:rsidRPr="001F04A2">
        <w:rPr>
          <w:rFonts w:ascii="Times New Roman" w:eastAsia="Times New Roman" w:hAnsi="Times New Roman" w:cs="Times New Roman"/>
          <w:color w:val="000000" w:themeColor="text1"/>
          <w:sz w:val="24"/>
          <w:szCs w:val="24"/>
          <w:lang w:val="en-US"/>
        </w:rPr>
        <w:t xml:space="preserve"> </w:t>
      </w:r>
      <w:r w:rsidR="004137FB" w:rsidRPr="001F04A2">
        <w:rPr>
          <w:rFonts w:ascii="Times New Roman" w:eastAsia="Times New Roman" w:hAnsi="Times New Roman" w:cs="Times New Roman"/>
          <w:color w:val="000000" w:themeColor="text1"/>
          <w:sz w:val="24"/>
          <w:szCs w:val="24"/>
          <w:lang w:val="en-US"/>
        </w:rPr>
        <w:t xml:space="preserve">In doing this, the </w:t>
      </w:r>
      <w:r>
        <w:rPr>
          <w:rFonts w:ascii="Times New Roman" w:eastAsia="Times New Roman" w:hAnsi="Times New Roman" w:cs="Times New Roman"/>
          <w:color w:val="000000" w:themeColor="text1"/>
          <w:sz w:val="24"/>
          <w:szCs w:val="24"/>
          <w:lang w:val="en-US"/>
        </w:rPr>
        <w:t>Third</w:t>
      </w:r>
      <w:r w:rsidRPr="001F04A2">
        <w:rPr>
          <w:rFonts w:ascii="Times New Roman" w:eastAsia="Times New Roman" w:hAnsi="Times New Roman" w:cs="Times New Roman"/>
          <w:color w:val="000000" w:themeColor="text1"/>
          <w:sz w:val="24"/>
          <w:szCs w:val="24"/>
          <w:lang w:val="en-US"/>
        </w:rPr>
        <w:t xml:space="preserve"> </w:t>
      </w:r>
      <w:r w:rsidR="004137FB" w:rsidRPr="001F04A2">
        <w:rPr>
          <w:rFonts w:ascii="Times New Roman" w:eastAsia="Times New Roman" w:hAnsi="Times New Roman" w:cs="Times New Roman"/>
          <w:color w:val="000000" w:themeColor="text1"/>
          <w:sz w:val="24"/>
          <w:szCs w:val="24"/>
          <w:lang w:val="en-US"/>
        </w:rPr>
        <w:t xml:space="preserve">Circuit </w:t>
      </w:r>
      <w:r w:rsidR="006E6BE1" w:rsidRPr="001F04A2">
        <w:rPr>
          <w:rFonts w:ascii="Times New Roman" w:eastAsia="Times New Roman" w:hAnsi="Times New Roman" w:cs="Times New Roman"/>
          <w:color w:val="000000" w:themeColor="text1"/>
          <w:sz w:val="24"/>
          <w:szCs w:val="24"/>
          <w:lang w:val="en-US"/>
        </w:rPr>
        <w:t>side</w:t>
      </w:r>
      <w:r>
        <w:rPr>
          <w:rFonts w:ascii="Times New Roman" w:eastAsia="Times New Roman" w:hAnsi="Times New Roman" w:cs="Times New Roman"/>
          <w:color w:val="000000" w:themeColor="text1"/>
          <w:sz w:val="24"/>
          <w:szCs w:val="24"/>
          <w:lang w:val="en-US"/>
        </w:rPr>
        <w:t>d</w:t>
      </w:r>
      <w:r w:rsidR="006E6BE1" w:rsidRPr="001F04A2">
        <w:rPr>
          <w:rFonts w:ascii="Times New Roman" w:eastAsia="Times New Roman" w:hAnsi="Times New Roman" w:cs="Times New Roman"/>
          <w:color w:val="000000" w:themeColor="text1"/>
          <w:sz w:val="24"/>
          <w:szCs w:val="24"/>
          <w:lang w:val="en-US"/>
        </w:rPr>
        <w:t xml:space="preserve"> with the D.C., </w:t>
      </w:r>
      <w:r>
        <w:rPr>
          <w:rFonts w:ascii="Times New Roman" w:eastAsia="Times New Roman" w:hAnsi="Times New Roman" w:cs="Times New Roman"/>
          <w:color w:val="000000" w:themeColor="text1"/>
          <w:sz w:val="24"/>
          <w:szCs w:val="24"/>
          <w:lang w:val="en-US"/>
        </w:rPr>
        <w:t>First</w:t>
      </w:r>
      <w:r w:rsidR="006E6BE1" w:rsidRPr="001F04A2">
        <w:rPr>
          <w:rFonts w:ascii="Times New Roman" w:eastAsia="Times New Roman" w:hAnsi="Times New Roman" w:cs="Times New Roman"/>
          <w:color w:val="000000" w:themeColor="text1"/>
          <w:sz w:val="24"/>
          <w:szCs w:val="24"/>
          <w:lang w:val="en-US"/>
        </w:rPr>
        <w:t xml:space="preserve">, and </w:t>
      </w:r>
      <w:r>
        <w:rPr>
          <w:rFonts w:ascii="Times New Roman" w:eastAsia="Times New Roman" w:hAnsi="Times New Roman" w:cs="Times New Roman"/>
          <w:color w:val="000000" w:themeColor="text1"/>
          <w:sz w:val="24"/>
          <w:szCs w:val="24"/>
          <w:lang w:val="en-US"/>
        </w:rPr>
        <w:t>Second</w:t>
      </w:r>
      <w:r w:rsidRPr="001F04A2">
        <w:rPr>
          <w:rFonts w:ascii="Times New Roman" w:eastAsia="Times New Roman" w:hAnsi="Times New Roman" w:cs="Times New Roman"/>
          <w:color w:val="000000" w:themeColor="text1"/>
          <w:sz w:val="24"/>
          <w:szCs w:val="24"/>
          <w:lang w:val="en-US"/>
        </w:rPr>
        <w:t xml:space="preserve"> </w:t>
      </w:r>
      <w:r w:rsidR="006E6BE1" w:rsidRPr="001F04A2">
        <w:rPr>
          <w:rFonts w:ascii="Times New Roman" w:eastAsia="Times New Roman" w:hAnsi="Times New Roman" w:cs="Times New Roman"/>
          <w:color w:val="000000" w:themeColor="text1"/>
          <w:sz w:val="24"/>
          <w:szCs w:val="24"/>
          <w:lang w:val="en-US"/>
        </w:rPr>
        <w:t xml:space="preserve">Circuit on this issue, while the </w:t>
      </w:r>
      <w:r>
        <w:rPr>
          <w:rFonts w:ascii="Times New Roman" w:eastAsia="Times New Roman" w:hAnsi="Times New Roman" w:cs="Times New Roman"/>
          <w:color w:val="000000" w:themeColor="text1"/>
          <w:sz w:val="24"/>
          <w:szCs w:val="24"/>
          <w:lang w:val="en-US"/>
        </w:rPr>
        <w:t>Fourth</w:t>
      </w:r>
      <w:r w:rsidR="006E6BE1" w:rsidRPr="001F04A2">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Fifth</w:t>
      </w:r>
      <w:r w:rsidR="006E6BE1" w:rsidRPr="001F04A2">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Sixth</w:t>
      </w:r>
      <w:r w:rsidR="006E6BE1" w:rsidRPr="001F04A2">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Ninth</w:t>
      </w:r>
      <w:r w:rsidR="006E6BE1" w:rsidRPr="001F04A2">
        <w:rPr>
          <w:rFonts w:ascii="Times New Roman" w:eastAsia="Times New Roman" w:hAnsi="Times New Roman" w:cs="Times New Roman"/>
          <w:color w:val="000000" w:themeColor="text1"/>
          <w:sz w:val="24"/>
          <w:szCs w:val="24"/>
          <w:lang w:val="en-US"/>
        </w:rPr>
        <w:t xml:space="preserve">, and </w:t>
      </w:r>
      <w:r>
        <w:rPr>
          <w:rFonts w:ascii="Times New Roman" w:eastAsia="Times New Roman" w:hAnsi="Times New Roman" w:cs="Times New Roman"/>
          <w:color w:val="000000" w:themeColor="text1"/>
          <w:sz w:val="24"/>
          <w:szCs w:val="24"/>
          <w:lang w:val="en-US"/>
        </w:rPr>
        <w:lastRenderedPageBreak/>
        <w:t>Tenth</w:t>
      </w:r>
      <w:r w:rsidRPr="001F04A2">
        <w:rPr>
          <w:rFonts w:ascii="Times New Roman" w:eastAsia="Times New Roman" w:hAnsi="Times New Roman" w:cs="Times New Roman"/>
          <w:color w:val="000000" w:themeColor="text1"/>
          <w:sz w:val="24"/>
          <w:szCs w:val="24"/>
          <w:lang w:val="en-US"/>
        </w:rPr>
        <w:t xml:space="preserve"> </w:t>
      </w:r>
      <w:r w:rsidR="006E6BE1" w:rsidRPr="001F04A2">
        <w:rPr>
          <w:rFonts w:ascii="Times New Roman" w:eastAsia="Times New Roman" w:hAnsi="Times New Roman" w:cs="Times New Roman"/>
          <w:color w:val="000000" w:themeColor="text1"/>
          <w:sz w:val="24"/>
          <w:szCs w:val="24"/>
          <w:lang w:val="en-US"/>
        </w:rPr>
        <w:t xml:space="preserve">Circuit </w:t>
      </w:r>
      <w:r>
        <w:rPr>
          <w:rFonts w:ascii="Times New Roman" w:eastAsia="Times New Roman" w:hAnsi="Times New Roman" w:cs="Times New Roman"/>
          <w:color w:val="000000" w:themeColor="text1"/>
          <w:sz w:val="24"/>
          <w:szCs w:val="24"/>
          <w:lang w:val="en-US"/>
        </w:rPr>
        <w:t xml:space="preserve">have </w:t>
      </w:r>
      <w:r w:rsidR="006E6BE1" w:rsidRPr="001F04A2">
        <w:rPr>
          <w:rFonts w:ascii="Times New Roman" w:eastAsia="Times New Roman" w:hAnsi="Times New Roman" w:cs="Times New Roman"/>
          <w:color w:val="000000" w:themeColor="text1"/>
          <w:sz w:val="24"/>
          <w:szCs w:val="24"/>
          <w:lang w:val="en-US"/>
        </w:rPr>
        <w:t>h</w:t>
      </w:r>
      <w:r>
        <w:rPr>
          <w:rFonts w:ascii="Times New Roman" w:eastAsia="Times New Roman" w:hAnsi="Times New Roman" w:cs="Times New Roman"/>
          <w:color w:val="000000" w:themeColor="text1"/>
          <w:sz w:val="24"/>
          <w:szCs w:val="24"/>
          <w:lang w:val="en-US"/>
        </w:rPr>
        <w:t>e</w:t>
      </w:r>
      <w:r w:rsidR="006E6BE1" w:rsidRPr="001F04A2">
        <w:rPr>
          <w:rFonts w:ascii="Times New Roman" w:eastAsia="Times New Roman" w:hAnsi="Times New Roman" w:cs="Times New Roman"/>
          <w:color w:val="000000" w:themeColor="text1"/>
          <w:sz w:val="24"/>
          <w:szCs w:val="24"/>
          <w:lang w:val="en-US"/>
        </w:rPr>
        <w:t xml:space="preserve">ld the opposite. However, the </w:t>
      </w:r>
      <w:r>
        <w:rPr>
          <w:rFonts w:ascii="Times New Roman" w:eastAsia="Times New Roman" w:hAnsi="Times New Roman" w:cs="Times New Roman"/>
          <w:color w:val="000000" w:themeColor="text1"/>
          <w:sz w:val="24"/>
          <w:szCs w:val="24"/>
          <w:lang w:val="en-US"/>
        </w:rPr>
        <w:t xml:space="preserve">Third </w:t>
      </w:r>
      <w:r w:rsidR="009A0EEE">
        <w:rPr>
          <w:rFonts w:ascii="Times New Roman" w:eastAsia="Times New Roman" w:hAnsi="Times New Roman" w:cs="Times New Roman"/>
          <w:color w:val="000000" w:themeColor="text1"/>
          <w:sz w:val="24"/>
          <w:szCs w:val="24"/>
          <w:lang w:val="en-US"/>
        </w:rPr>
        <w:t xml:space="preserve">Circuit here </w:t>
      </w:r>
      <w:r>
        <w:rPr>
          <w:rFonts w:ascii="Times New Roman" w:eastAsia="Times New Roman" w:hAnsi="Times New Roman" w:cs="Times New Roman"/>
          <w:color w:val="000000" w:themeColor="text1"/>
          <w:sz w:val="24"/>
          <w:szCs w:val="24"/>
          <w:lang w:val="en-US"/>
        </w:rPr>
        <w:t xml:space="preserve">relied </w:t>
      </w:r>
      <w:r w:rsidR="009A0EEE">
        <w:rPr>
          <w:rFonts w:ascii="Times New Roman" w:eastAsia="Times New Roman" w:hAnsi="Times New Roman" w:cs="Times New Roman"/>
          <w:color w:val="000000" w:themeColor="text1"/>
          <w:sz w:val="24"/>
          <w:szCs w:val="24"/>
          <w:lang w:val="en-US"/>
        </w:rPr>
        <w:t xml:space="preserve">on </w:t>
      </w:r>
      <w:r w:rsidR="006E6BE1" w:rsidRPr="001F04A2">
        <w:rPr>
          <w:rFonts w:ascii="Times New Roman" w:eastAsia="Times New Roman" w:hAnsi="Times New Roman" w:cs="Times New Roman"/>
          <w:color w:val="000000" w:themeColor="text1"/>
          <w:sz w:val="24"/>
          <w:szCs w:val="24"/>
          <w:lang w:val="en-US"/>
        </w:rPr>
        <w:t>Supreme Court guidance</w:t>
      </w:r>
      <w:r>
        <w:rPr>
          <w:rFonts w:ascii="Times New Roman" w:eastAsia="Times New Roman" w:hAnsi="Times New Roman" w:cs="Times New Roman"/>
          <w:color w:val="000000" w:themeColor="text1"/>
          <w:sz w:val="24"/>
          <w:szCs w:val="24"/>
          <w:lang w:val="en-US"/>
        </w:rPr>
        <w:t xml:space="preserve"> in </w:t>
      </w:r>
      <w:r w:rsidRPr="001261E1">
        <w:rPr>
          <w:rFonts w:ascii="Times New Roman" w:eastAsia="Times New Roman" w:hAnsi="Times New Roman" w:cs="Times New Roman"/>
          <w:i/>
          <w:iCs/>
          <w:color w:val="000000" w:themeColor="text1"/>
          <w:sz w:val="24"/>
          <w:szCs w:val="24"/>
        </w:rPr>
        <w:t>Sebelius v. Auburn Reg'l Med. Ctr.</w:t>
      </w:r>
      <w:r w:rsidRPr="001261E1">
        <w:rPr>
          <w:rFonts w:ascii="Times New Roman" w:eastAsia="Times New Roman" w:hAnsi="Times New Roman" w:cs="Times New Roman"/>
          <w:color w:val="000000" w:themeColor="text1"/>
          <w:sz w:val="24"/>
          <w:szCs w:val="24"/>
        </w:rPr>
        <w:t>, 568 U.S. 145</w:t>
      </w:r>
      <w:r>
        <w:rPr>
          <w:rFonts w:ascii="Times New Roman" w:eastAsia="Times New Roman" w:hAnsi="Times New Roman" w:cs="Times New Roman"/>
          <w:color w:val="000000" w:themeColor="text1"/>
          <w:sz w:val="24"/>
          <w:szCs w:val="24"/>
        </w:rPr>
        <w:t xml:space="preserve"> (2013)</w:t>
      </w:r>
      <w:r w:rsidR="009A0EEE">
        <w:rPr>
          <w:rFonts w:ascii="Times New Roman" w:eastAsia="Times New Roman" w:hAnsi="Times New Roman" w:cs="Times New Roman"/>
          <w:color w:val="000000" w:themeColor="text1"/>
          <w:sz w:val="24"/>
          <w:szCs w:val="24"/>
          <w:lang w:val="en-US"/>
        </w:rPr>
        <w:t>, which</w:t>
      </w:r>
      <w:r w:rsidR="006E6BE1" w:rsidRPr="001F04A2">
        <w:rPr>
          <w:rFonts w:ascii="Times New Roman" w:eastAsia="Times New Roman" w:hAnsi="Times New Roman" w:cs="Times New Roman"/>
          <w:color w:val="000000" w:themeColor="text1"/>
          <w:sz w:val="24"/>
          <w:szCs w:val="24"/>
          <w:lang w:val="en-US"/>
        </w:rPr>
        <w:t xml:space="preserve"> came after most of these “contrary circuit cases</w:t>
      </w:r>
      <w:r>
        <w:rPr>
          <w:rFonts w:ascii="Times New Roman" w:eastAsia="Times New Roman" w:hAnsi="Times New Roman" w:cs="Times New Roman"/>
          <w:color w:val="000000" w:themeColor="text1"/>
          <w:sz w:val="24"/>
          <w:szCs w:val="24"/>
          <w:lang w:val="en-US"/>
        </w:rPr>
        <w:t>,</w:t>
      </w:r>
      <w:r w:rsidR="006E6BE1" w:rsidRPr="001F04A2">
        <w:rPr>
          <w:rFonts w:ascii="Times New Roman" w:eastAsia="Times New Roman" w:hAnsi="Times New Roman" w:cs="Times New Roman"/>
          <w:color w:val="000000" w:themeColor="text1"/>
          <w:sz w:val="24"/>
          <w:szCs w:val="24"/>
          <w:lang w:val="en-US"/>
        </w:rPr>
        <w:t>”</w:t>
      </w:r>
      <w:r w:rsidR="00F57259" w:rsidRPr="001F04A2">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and</w:t>
      </w:r>
      <w:r w:rsidRPr="001F04A2">
        <w:rPr>
          <w:rFonts w:ascii="Times New Roman" w:eastAsia="Times New Roman" w:hAnsi="Times New Roman" w:cs="Times New Roman"/>
          <w:color w:val="000000" w:themeColor="text1"/>
          <w:sz w:val="24"/>
          <w:szCs w:val="24"/>
          <w:lang w:val="en-US"/>
        </w:rPr>
        <w:t xml:space="preserve"> </w:t>
      </w:r>
      <w:r w:rsidR="006E6BE1" w:rsidRPr="001F04A2">
        <w:rPr>
          <w:rFonts w:ascii="Times New Roman" w:eastAsia="Times New Roman" w:hAnsi="Times New Roman" w:cs="Times New Roman"/>
          <w:color w:val="000000" w:themeColor="text1"/>
          <w:sz w:val="24"/>
          <w:szCs w:val="24"/>
          <w:lang w:val="en-US"/>
        </w:rPr>
        <w:t>h</w:t>
      </w:r>
      <w:r>
        <w:rPr>
          <w:rFonts w:ascii="Times New Roman" w:eastAsia="Times New Roman" w:hAnsi="Times New Roman" w:cs="Times New Roman"/>
          <w:color w:val="000000" w:themeColor="text1"/>
          <w:sz w:val="24"/>
          <w:szCs w:val="24"/>
          <w:lang w:val="en-US"/>
        </w:rPr>
        <w:t>e</w:t>
      </w:r>
      <w:r w:rsidR="006E6BE1" w:rsidRPr="001F04A2">
        <w:rPr>
          <w:rFonts w:ascii="Times New Roman" w:eastAsia="Times New Roman" w:hAnsi="Times New Roman" w:cs="Times New Roman"/>
          <w:color w:val="000000" w:themeColor="text1"/>
          <w:sz w:val="24"/>
          <w:szCs w:val="24"/>
          <w:lang w:val="en-US"/>
        </w:rPr>
        <w:t>ld that “unless Congress states clearly that a rule is jurisdictional, we will treat it as nonjurisdictional.”</w:t>
      </w:r>
      <w:r w:rsidR="006E6BE1" w:rsidRPr="001F04A2">
        <w:rPr>
          <w:rStyle w:val="FootnoteReference"/>
          <w:rFonts w:ascii="Times New Roman" w:eastAsia="Times New Roman" w:hAnsi="Times New Roman" w:cs="Times New Roman"/>
          <w:color w:val="000000" w:themeColor="text1"/>
          <w:sz w:val="24"/>
          <w:szCs w:val="24"/>
          <w:lang w:val="en-US"/>
        </w:rPr>
        <w:footnoteReference w:id="80"/>
      </w:r>
      <w:r w:rsidR="006E6BE1" w:rsidRPr="001F04A2">
        <w:rPr>
          <w:rFonts w:ascii="Times New Roman" w:eastAsia="Times New Roman" w:hAnsi="Times New Roman" w:cs="Times New Roman"/>
          <w:color w:val="000000" w:themeColor="text1"/>
          <w:sz w:val="24"/>
          <w:szCs w:val="24"/>
          <w:lang w:val="en-US"/>
        </w:rPr>
        <w:t xml:space="preserve"> </w:t>
      </w:r>
    </w:p>
    <w:p w14:paraId="278821B3" w14:textId="4113B70A" w:rsidR="00B01382" w:rsidRDefault="00B01382" w:rsidP="00394636">
      <w:pPr>
        <w:pStyle w:val="Heading1"/>
        <w:numPr>
          <w:ilvl w:val="0"/>
          <w:numId w:val="1"/>
        </w:numPr>
        <w:spacing w:line="480" w:lineRule="auto"/>
        <w:rPr>
          <w:rFonts w:ascii="Times New Roman" w:hAnsi="Times New Roman" w:cs="Times New Roman"/>
          <w:i/>
        </w:rPr>
      </w:pPr>
      <w:r w:rsidRPr="001261E1">
        <w:rPr>
          <w:rFonts w:ascii="Times New Roman" w:hAnsi="Times New Roman" w:cs="Times New Roman"/>
        </w:rPr>
        <w:t>Procedure</w:t>
      </w:r>
    </w:p>
    <w:p w14:paraId="0CD3E645" w14:textId="3B543AB8" w:rsidR="007853B9" w:rsidRPr="007853B9" w:rsidRDefault="00C72557" w:rsidP="007853B9">
      <w:pPr>
        <w:pStyle w:val="ListParagraph"/>
        <w:numPr>
          <w:ilvl w:val="0"/>
          <w:numId w:val="6"/>
        </w:num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Rule 9(b)</w:t>
      </w:r>
    </w:p>
    <w:p w14:paraId="093DB27C" w14:textId="77777777" w:rsidR="007853B9" w:rsidRDefault="007853B9" w:rsidP="007853B9">
      <w:pPr>
        <w:rPr>
          <w:rFonts w:ascii="Times New Roman" w:hAnsi="Times New Roman" w:cs="Times New Roman"/>
          <w:sz w:val="24"/>
          <w:szCs w:val="24"/>
        </w:rPr>
      </w:pPr>
    </w:p>
    <w:p w14:paraId="3DE0FC41" w14:textId="1888F5BC" w:rsidR="007853B9" w:rsidRDefault="007853B9" w:rsidP="001261E1">
      <w:pPr>
        <w:spacing w:line="480" w:lineRule="auto"/>
        <w:ind w:firstLine="360"/>
        <w:rPr>
          <w:rFonts w:ascii="Times New Roman" w:hAnsi="Times New Roman" w:cs="Times New Roman"/>
          <w:i/>
          <w:sz w:val="24"/>
          <w:szCs w:val="24"/>
        </w:rPr>
      </w:pPr>
      <w:r w:rsidRPr="007853B9">
        <w:rPr>
          <w:rFonts w:ascii="Times New Roman" w:hAnsi="Times New Roman" w:cs="Times New Roman"/>
          <w:sz w:val="24"/>
          <w:szCs w:val="24"/>
        </w:rPr>
        <w:t xml:space="preserve">There were a few cases of note involving Rule 9(b) </w:t>
      </w:r>
      <w:r w:rsidR="00B06053">
        <w:rPr>
          <w:rFonts w:ascii="Times New Roman" w:hAnsi="Times New Roman" w:cs="Times New Roman"/>
          <w:sz w:val="24"/>
          <w:szCs w:val="24"/>
        </w:rPr>
        <w:t>in 2020</w:t>
      </w:r>
      <w:r w:rsidRPr="007853B9">
        <w:rPr>
          <w:rFonts w:ascii="Times New Roman" w:hAnsi="Times New Roman" w:cs="Times New Roman"/>
          <w:sz w:val="24"/>
          <w:szCs w:val="24"/>
        </w:rPr>
        <w:t xml:space="preserve">.  In </w:t>
      </w:r>
      <w:r w:rsidRPr="007853B9">
        <w:rPr>
          <w:rFonts w:ascii="Times New Roman" w:hAnsi="Times New Roman" w:cs="Times New Roman"/>
          <w:i/>
          <w:sz w:val="24"/>
          <w:szCs w:val="24"/>
        </w:rPr>
        <w:t>United States ex rel. Benaissa v. Trinity Health</w:t>
      </w:r>
      <w:r w:rsidR="00670380">
        <w:rPr>
          <w:rFonts w:ascii="Times New Roman" w:hAnsi="Times New Roman" w:cs="Times New Roman"/>
          <w:sz w:val="24"/>
          <w:szCs w:val="24"/>
        </w:rPr>
        <w:t>,</w:t>
      </w:r>
      <w:r w:rsidRPr="00B367DA">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w:t>
      </w:r>
      <w:bookmarkStart w:id="0" w:name="_Hlk63774640"/>
      <w:r w:rsidRPr="007853B9">
        <w:rPr>
          <w:rFonts w:ascii="Times New Roman" w:hAnsi="Times New Roman" w:cs="Times New Roman"/>
          <w:sz w:val="24"/>
          <w:szCs w:val="24"/>
        </w:rPr>
        <w:t xml:space="preserve">the relator brought a </w:t>
      </w:r>
      <w:r w:rsidRPr="007853B9">
        <w:rPr>
          <w:rFonts w:ascii="Times New Roman" w:hAnsi="Times New Roman" w:cs="Times New Roman"/>
          <w:i/>
          <w:sz w:val="24"/>
          <w:szCs w:val="24"/>
        </w:rPr>
        <w:t>qui tam</w:t>
      </w:r>
      <w:r w:rsidRPr="007853B9">
        <w:rPr>
          <w:rFonts w:ascii="Times New Roman" w:hAnsi="Times New Roman" w:cs="Times New Roman"/>
          <w:sz w:val="24"/>
          <w:szCs w:val="24"/>
        </w:rPr>
        <w:t xml:space="preserve"> action alleging that the hospital where he was formerly employed and its parent company and affiliates submitted claims tainted by violations of the Stark Law and Anti-Kickback Statute to the government in violation of the FCA.  The relator identified five physicians whom the defendants allegedly paid in excess of the 90th percentile of compensation for their specialties, and that these physicians’ high salaries were not merited by their skills, credentials, or personal productivity, but that the defendants paid them for illegally referring patients for additional services at the hospital.  He alleged that the claims submitted by those physicians were all fraudulent as a result of the AKS and Stark Law violations.  The district court granted the defendants’ motion to dismiss, explaining that the relator failed to allege any representative examples of false claims actually submitted, and that his argument that because Medicare reimbursements made up a large portion of the defendants’ annual revenue, some claims must necessarily have been submitted to the government was too speculative.  The Eighth Circuit agreed, finding that the relator’s allegations lacked sufficient </w:t>
      </w:r>
      <w:r w:rsidRPr="007853B9">
        <w:rPr>
          <w:rFonts w:ascii="Times New Roman" w:hAnsi="Times New Roman" w:cs="Times New Roman"/>
          <w:sz w:val="24"/>
          <w:szCs w:val="24"/>
        </w:rPr>
        <w:lastRenderedPageBreak/>
        <w:t>“indicia of reliability”</w:t>
      </w:r>
      <w:r>
        <w:rPr>
          <w:rStyle w:val="FootnoteReference"/>
          <w:rFonts w:ascii="Times New Roman" w:hAnsi="Times New Roman" w:cs="Times New Roman"/>
          <w:sz w:val="24"/>
          <w:szCs w:val="24"/>
        </w:rPr>
        <w:footnoteReference w:id="82"/>
      </w:r>
      <w:r w:rsidRPr="007853B9">
        <w:rPr>
          <w:rFonts w:ascii="Times New Roman" w:hAnsi="Times New Roman" w:cs="Times New Roman"/>
          <w:sz w:val="24"/>
          <w:szCs w:val="24"/>
        </w:rPr>
        <w:t xml:space="preserve"> because the plaintiff was an anesthesiologist and not employed in the billing department, thus he had no firsthand knowledge of whether claims were actually submitted.  The court found these allegations too conclusory to meet the requirements of Rule 9(b). </w:t>
      </w:r>
      <w:bookmarkEnd w:id="0"/>
    </w:p>
    <w:p w14:paraId="3D5E12D7" w14:textId="6E7253B5" w:rsidR="007853B9" w:rsidRDefault="007853B9" w:rsidP="001261E1">
      <w:pPr>
        <w:spacing w:line="480" w:lineRule="auto"/>
        <w:ind w:firstLine="360"/>
        <w:rPr>
          <w:rFonts w:ascii="Times New Roman" w:hAnsi="Times New Roman" w:cs="Times New Roman"/>
          <w:sz w:val="24"/>
          <w:szCs w:val="24"/>
        </w:rPr>
      </w:pPr>
      <w:r w:rsidRPr="007853B9">
        <w:rPr>
          <w:rFonts w:ascii="Times New Roman" w:hAnsi="Times New Roman" w:cs="Times New Roman"/>
          <w:i/>
          <w:sz w:val="24"/>
          <w:szCs w:val="24"/>
        </w:rPr>
        <w:t>United States ex rel. Integra Med Analytics v. Baylor Scott &amp; White Health</w:t>
      </w:r>
      <w:r w:rsidR="00472253" w:rsidRPr="001261E1">
        <w:rPr>
          <w:rStyle w:val="FootnoteReference"/>
          <w:rFonts w:ascii="Times New Roman" w:hAnsi="Times New Roman" w:cs="Times New Roman"/>
          <w:sz w:val="24"/>
          <w:szCs w:val="24"/>
        </w:rPr>
        <w:footnoteReference w:id="83"/>
      </w:r>
      <w:r w:rsidRPr="00365773">
        <w:rPr>
          <w:rFonts w:ascii="Times New Roman" w:hAnsi="Times New Roman" w:cs="Times New Roman"/>
          <w:sz w:val="24"/>
          <w:szCs w:val="24"/>
        </w:rPr>
        <w:t xml:space="preserve"> </w:t>
      </w:r>
      <w:r w:rsidRPr="007853B9">
        <w:rPr>
          <w:rFonts w:ascii="Times New Roman" w:hAnsi="Times New Roman" w:cs="Times New Roman"/>
          <w:sz w:val="24"/>
          <w:szCs w:val="24"/>
        </w:rPr>
        <w:t>involved a relator-entity that used publicly available claims data in part to develop its theory of liability.  The relator alleged that the defendant, a hospital system, improperly upcoded claims that submitted to the government for treatment that was not given or not required in order to receive higher reimbursements.  The relator alleged that it analyzed the claims data and determined that the defendant used the codes for the highest levels of care</w:t>
      </w:r>
      <w:r w:rsidR="008074DC">
        <w:rPr>
          <w:rFonts w:ascii="Times New Roman" w:hAnsi="Times New Roman" w:cs="Times New Roman"/>
          <w:sz w:val="24"/>
          <w:szCs w:val="24"/>
        </w:rPr>
        <w:t>,</w:t>
      </w:r>
      <w:r w:rsidRPr="007853B9">
        <w:rPr>
          <w:rFonts w:ascii="Times New Roman" w:hAnsi="Times New Roman" w:cs="Times New Roman"/>
          <w:sz w:val="24"/>
          <w:szCs w:val="24"/>
        </w:rPr>
        <w:t xml:space="preserve"> which resulted in the highest possible reimbursements at a level far above the national average and which could not be explained by the patient population.</w:t>
      </w:r>
    </w:p>
    <w:p w14:paraId="0E6E43AE" w14:textId="773CB922" w:rsidR="007853B9" w:rsidRDefault="007853B9" w:rsidP="001261E1">
      <w:pPr>
        <w:spacing w:line="480" w:lineRule="auto"/>
        <w:ind w:firstLine="360"/>
        <w:rPr>
          <w:rFonts w:ascii="Times New Roman" w:hAnsi="Times New Roman" w:cs="Times New Roman"/>
          <w:sz w:val="24"/>
          <w:szCs w:val="24"/>
        </w:rPr>
      </w:pPr>
      <w:r w:rsidRPr="007853B9">
        <w:rPr>
          <w:rFonts w:ascii="Times New Roman" w:hAnsi="Times New Roman" w:cs="Times New Roman"/>
          <w:sz w:val="24"/>
          <w:szCs w:val="24"/>
        </w:rPr>
        <w:t>The district court granted the defendant’s motion to dismiss, finding that the allegations were conclusory and did not meet the requirements of Rule 9(b).  The Fifth Circuit agreed.  The court explained that the facts showed that hospital systems around the country began using the same codes as the defendant shortly after the defendant did.  The court observed that “a legal and ‘obvious alternative explanation’ for the statistical data presented by [the relator] is that [the defendant] was simply ahead of the healthcare industry at implementing” new Medicare reimbursement guidelines.  The court hedged a bit, noting that the “conclusion [did] not exclude statistical data from being used to meet the pleading requirements of Federal Rule of Civil Procedure 8(a) and, when paired with particular details, </w:t>
      </w:r>
      <w:r w:rsidRPr="007853B9">
        <w:rPr>
          <w:rFonts w:ascii="Times New Roman" w:hAnsi="Times New Roman" w:cs="Times New Roman"/>
          <w:bCs/>
          <w:sz w:val="24"/>
          <w:szCs w:val="24"/>
        </w:rPr>
        <w:t>Rule</w:t>
      </w:r>
      <w:r w:rsidRPr="007853B9">
        <w:rPr>
          <w:rFonts w:ascii="Times New Roman" w:hAnsi="Times New Roman" w:cs="Times New Roman"/>
          <w:sz w:val="24"/>
          <w:szCs w:val="24"/>
        </w:rPr>
        <w:t> </w:t>
      </w:r>
      <w:r w:rsidRPr="007853B9">
        <w:rPr>
          <w:rFonts w:ascii="Times New Roman" w:hAnsi="Times New Roman" w:cs="Times New Roman"/>
          <w:bCs/>
          <w:sz w:val="24"/>
          <w:szCs w:val="24"/>
        </w:rPr>
        <w:t>9</w:t>
      </w:r>
      <w:r w:rsidRPr="007853B9">
        <w:rPr>
          <w:rFonts w:ascii="Times New Roman" w:hAnsi="Times New Roman" w:cs="Times New Roman"/>
          <w:sz w:val="24"/>
          <w:szCs w:val="24"/>
        </w:rPr>
        <w:t>(</w:t>
      </w:r>
      <w:r w:rsidRPr="007853B9">
        <w:rPr>
          <w:rFonts w:ascii="Times New Roman" w:hAnsi="Times New Roman" w:cs="Times New Roman"/>
          <w:bCs/>
          <w:sz w:val="24"/>
          <w:szCs w:val="24"/>
        </w:rPr>
        <w:t>b</w:t>
      </w:r>
      <w:r w:rsidRPr="007853B9">
        <w:rPr>
          <w:rFonts w:ascii="Times New Roman" w:hAnsi="Times New Roman" w:cs="Times New Roman"/>
          <w:sz w:val="24"/>
          <w:szCs w:val="24"/>
        </w:rPr>
        <w:t xml:space="preserve">). Our conclusion merely means </w:t>
      </w:r>
      <w:r w:rsidRPr="007853B9">
        <w:rPr>
          <w:rFonts w:ascii="Times New Roman" w:hAnsi="Times New Roman" w:cs="Times New Roman"/>
          <w:sz w:val="24"/>
          <w:szCs w:val="24"/>
        </w:rPr>
        <w:lastRenderedPageBreak/>
        <w:t>that statistical data cannot meet those pleading requirements if, among other possible issues, it is also consistent with a legal and obvious alternative explanation.”</w:t>
      </w:r>
      <w:r w:rsidR="00472253">
        <w:rPr>
          <w:rStyle w:val="FootnoteReference"/>
          <w:rFonts w:ascii="Times New Roman" w:hAnsi="Times New Roman" w:cs="Times New Roman"/>
          <w:sz w:val="24"/>
          <w:szCs w:val="24"/>
        </w:rPr>
        <w:footnoteReference w:id="84"/>
      </w:r>
      <w:r w:rsidRPr="007853B9">
        <w:rPr>
          <w:rFonts w:ascii="Times New Roman" w:hAnsi="Times New Roman" w:cs="Times New Roman"/>
          <w:sz w:val="24"/>
          <w:szCs w:val="24"/>
        </w:rPr>
        <w:t xml:space="preserve">  </w:t>
      </w:r>
    </w:p>
    <w:p w14:paraId="1A48B9E1" w14:textId="6F97332D" w:rsidR="007853B9" w:rsidRPr="007853B9" w:rsidRDefault="007853B9" w:rsidP="001261E1">
      <w:pPr>
        <w:spacing w:line="480" w:lineRule="auto"/>
        <w:ind w:firstLine="360"/>
      </w:pPr>
      <w:r w:rsidRPr="007853B9">
        <w:rPr>
          <w:rFonts w:ascii="Times New Roman" w:hAnsi="Times New Roman" w:cs="Times New Roman"/>
          <w:sz w:val="24"/>
          <w:szCs w:val="24"/>
        </w:rPr>
        <w:t xml:space="preserve">There were a number of cases decided at the district court level that involved group pleading and Rule 9(b) and it is important to keep in mind how to properly plead claims involving multiple defendants.  </w:t>
      </w:r>
      <w:r w:rsidR="00472253">
        <w:rPr>
          <w:rFonts w:ascii="Times New Roman" w:hAnsi="Times New Roman" w:cs="Times New Roman"/>
          <w:sz w:val="24"/>
          <w:szCs w:val="24"/>
        </w:rPr>
        <w:t xml:space="preserve">In </w:t>
      </w:r>
      <w:r w:rsidR="00472253" w:rsidRPr="00472253">
        <w:rPr>
          <w:rFonts w:ascii="Times New Roman" w:hAnsi="Times New Roman" w:cs="Times New Roman"/>
          <w:i/>
          <w:sz w:val="24"/>
          <w:szCs w:val="24"/>
        </w:rPr>
        <w:t>United States v. Hart</w:t>
      </w:r>
      <w:r w:rsidR="008074DC">
        <w:rPr>
          <w:rFonts w:ascii="Times New Roman" w:hAnsi="Times New Roman" w:cs="Times New Roman"/>
          <w:sz w:val="24"/>
          <w:szCs w:val="24"/>
        </w:rPr>
        <w:t>,</w:t>
      </w:r>
      <w:r w:rsidR="00472253" w:rsidRPr="00B367DA">
        <w:rPr>
          <w:rStyle w:val="FootnoteReference"/>
          <w:rFonts w:ascii="Times New Roman" w:hAnsi="Times New Roman" w:cs="Times New Roman"/>
          <w:sz w:val="24"/>
          <w:szCs w:val="24"/>
        </w:rPr>
        <w:footnoteReference w:id="85"/>
      </w:r>
      <w:r w:rsidRPr="007853B9">
        <w:rPr>
          <w:rFonts w:ascii="Times New Roman" w:hAnsi="Times New Roman" w:cs="Times New Roman"/>
          <w:sz w:val="24"/>
          <w:szCs w:val="24"/>
        </w:rPr>
        <w:t xml:space="preserve"> the court denied the defendants’ motion to dismiss, finding that the relator sufficiently alleged who engaged in the fraud scheme by identifying the corporation and individuals within the company who engaged in the fraudulent conduct, noting that corporations were “persons” for the purposes of the FCA.</w:t>
      </w:r>
      <w:r w:rsidR="00472253">
        <w:rPr>
          <w:rStyle w:val="FootnoteReference"/>
          <w:rFonts w:ascii="Times New Roman" w:hAnsi="Times New Roman" w:cs="Times New Roman"/>
          <w:sz w:val="24"/>
          <w:szCs w:val="24"/>
        </w:rPr>
        <w:footnoteReference w:id="86"/>
      </w:r>
      <w:r w:rsidRPr="007853B9">
        <w:rPr>
          <w:rFonts w:ascii="Times New Roman" w:hAnsi="Times New Roman" w:cs="Times New Roman"/>
          <w:sz w:val="24"/>
          <w:szCs w:val="24"/>
        </w:rPr>
        <w:t xml:space="preserve"> In </w:t>
      </w:r>
      <w:r w:rsidRPr="007853B9">
        <w:rPr>
          <w:rFonts w:ascii="Times New Roman" w:hAnsi="Times New Roman" w:cs="Times New Roman"/>
          <w:i/>
          <w:sz w:val="24"/>
          <w:szCs w:val="24"/>
        </w:rPr>
        <w:t>United States ex rel. Sirls v. Kindred Healthcare, Inc</w:t>
      </w:r>
      <w:r w:rsidR="00472253">
        <w:rPr>
          <w:rFonts w:ascii="Times New Roman" w:hAnsi="Times New Roman" w:cs="Times New Roman"/>
          <w:sz w:val="24"/>
          <w:szCs w:val="24"/>
        </w:rPr>
        <w:t>.</w:t>
      </w:r>
      <w:r w:rsidR="008074DC">
        <w:rPr>
          <w:rFonts w:ascii="Times New Roman" w:hAnsi="Times New Roman" w:cs="Times New Roman"/>
          <w:sz w:val="24"/>
          <w:szCs w:val="24"/>
        </w:rPr>
        <w:t>,</w:t>
      </w:r>
      <w:r w:rsidR="00472253">
        <w:rPr>
          <w:rStyle w:val="FootnoteReference"/>
          <w:rFonts w:ascii="Times New Roman" w:hAnsi="Times New Roman" w:cs="Times New Roman"/>
          <w:sz w:val="24"/>
          <w:szCs w:val="24"/>
        </w:rPr>
        <w:footnoteReference w:id="87"/>
      </w:r>
      <w:r w:rsidRPr="007853B9">
        <w:rPr>
          <w:rFonts w:ascii="Times New Roman" w:hAnsi="Times New Roman" w:cs="Times New Roman"/>
          <w:sz w:val="24"/>
          <w:szCs w:val="24"/>
        </w:rPr>
        <w:t xml:space="preserve"> the relator alleged fraud against nursing home operators and their parent company.  The court found that the relator sufficiently alleged that the parent and subsidiaries were alter egos such that the parent could be held liable under the FCA.  The court noted that “the relator’s allegations of undercapitalization and siphoning of funds are sufficient to allege alter ego liability between defendants and their nursing facilities. In this case, piercing of the corporate veil is appropriate where ‘the parent so dominated the subsidiary that it had no separate existence.’ Moreover, as the Third Circuit has held, the corporate veil can be pierced where ‘the Medicare statute can be circumvented [the defendant] is not personally liable.’ In this case, failing to hold defendants liable for facility conduct would circumvent the statute by preventing full recovery because the nursing facilities are grossly undercapitalized and entirely dependent on defendants.” (internal citations omitted).</w:t>
      </w:r>
      <w:r w:rsidR="00472253">
        <w:rPr>
          <w:rStyle w:val="FootnoteReference"/>
          <w:rFonts w:ascii="Times New Roman" w:hAnsi="Times New Roman" w:cs="Times New Roman"/>
          <w:sz w:val="24"/>
          <w:szCs w:val="24"/>
        </w:rPr>
        <w:footnoteReference w:id="88"/>
      </w:r>
      <w:r w:rsidRPr="007853B9">
        <w:rPr>
          <w:rFonts w:ascii="Times New Roman" w:hAnsi="Times New Roman" w:cs="Times New Roman"/>
          <w:sz w:val="24"/>
          <w:szCs w:val="24"/>
        </w:rPr>
        <w:t xml:space="preserve">  Finally, the analysis changes when dealing wi</w:t>
      </w:r>
      <w:r w:rsidR="00472253">
        <w:rPr>
          <w:rFonts w:ascii="Times New Roman" w:hAnsi="Times New Roman" w:cs="Times New Roman"/>
          <w:sz w:val="24"/>
          <w:szCs w:val="24"/>
        </w:rPr>
        <w:t>th multiple unrelated entities.</w:t>
      </w:r>
      <w:r w:rsidRPr="007853B9">
        <w:rPr>
          <w:rFonts w:ascii="Times New Roman" w:hAnsi="Times New Roman" w:cs="Times New Roman"/>
          <w:sz w:val="24"/>
          <w:szCs w:val="24"/>
        </w:rPr>
        <w:t xml:space="preserve"> In </w:t>
      </w:r>
      <w:r w:rsidRPr="007853B9">
        <w:rPr>
          <w:rFonts w:ascii="Times New Roman" w:hAnsi="Times New Roman" w:cs="Times New Roman"/>
          <w:i/>
          <w:sz w:val="24"/>
          <w:szCs w:val="24"/>
        </w:rPr>
        <w:t xml:space="preserve">United States ex rel. Hunt v. Cochise </w:t>
      </w:r>
      <w:r w:rsidRPr="007853B9">
        <w:rPr>
          <w:rFonts w:ascii="Times New Roman" w:hAnsi="Times New Roman" w:cs="Times New Roman"/>
          <w:i/>
          <w:sz w:val="24"/>
          <w:szCs w:val="24"/>
        </w:rPr>
        <w:lastRenderedPageBreak/>
        <w:t>Consultancy, Inc</w:t>
      </w:r>
      <w:r w:rsidR="00472253">
        <w:rPr>
          <w:rFonts w:ascii="Times New Roman" w:hAnsi="Times New Roman" w:cs="Times New Roman"/>
          <w:sz w:val="24"/>
          <w:szCs w:val="24"/>
        </w:rPr>
        <w:t>.</w:t>
      </w:r>
      <w:r w:rsidR="008074DC">
        <w:rPr>
          <w:rFonts w:ascii="Times New Roman" w:hAnsi="Times New Roman" w:cs="Times New Roman"/>
          <w:sz w:val="24"/>
          <w:szCs w:val="24"/>
        </w:rPr>
        <w:t>,</w:t>
      </w:r>
      <w:r w:rsidR="00472253">
        <w:rPr>
          <w:rStyle w:val="FootnoteReference"/>
          <w:rFonts w:ascii="Times New Roman" w:hAnsi="Times New Roman" w:cs="Times New Roman"/>
          <w:sz w:val="24"/>
          <w:szCs w:val="24"/>
        </w:rPr>
        <w:footnoteReference w:id="89"/>
      </w:r>
      <w:r w:rsidRPr="007853B9">
        <w:rPr>
          <w:rFonts w:ascii="Times New Roman" w:hAnsi="Times New Roman" w:cs="Times New Roman"/>
          <w:sz w:val="24"/>
          <w:szCs w:val="24"/>
        </w:rPr>
        <w:t xml:space="preserve"> the court found that the relator sufficiently alleged his claims against each of the unrelated entities by explaining the role of each in the fraud.  The court further explained that the relator’s use of “Defendants” was not vague or confusing, noting that there are multiple places in the complaint in which the relator specifically identified which defendant was alleged to have engaged in which conduct, and that in the instances in which referenced “the Defendants,” it was clear that those allegations referred to both parties.</w:t>
      </w:r>
      <w:r w:rsidR="008B4B3A">
        <w:rPr>
          <w:rStyle w:val="FootnoteReference"/>
          <w:rFonts w:ascii="Times New Roman" w:hAnsi="Times New Roman" w:cs="Times New Roman"/>
          <w:sz w:val="24"/>
          <w:szCs w:val="24"/>
        </w:rPr>
        <w:footnoteReference w:id="90"/>
      </w:r>
    </w:p>
    <w:p w14:paraId="32A93189" w14:textId="0DC4D05E" w:rsidR="00DB0E1D" w:rsidRPr="00394636" w:rsidRDefault="001E345F" w:rsidP="00394636">
      <w:pPr>
        <w:pStyle w:val="Heading2"/>
        <w:numPr>
          <w:ilvl w:val="0"/>
          <w:numId w:val="6"/>
        </w:numPr>
        <w:rPr>
          <w:rFonts w:ascii="Times New Roman" w:hAnsi="Times New Roman" w:cs="Times New Roman"/>
          <w:b/>
        </w:rPr>
      </w:pPr>
      <w:r w:rsidRPr="00394636">
        <w:rPr>
          <w:rFonts w:ascii="Times New Roman" w:hAnsi="Times New Roman" w:cs="Times New Roman"/>
          <w:b/>
        </w:rPr>
        <w:t xml:space="preserve">Statistical </w:t>
      </w:r>
      <w:r w:rsidR="00C72557">
        <w:rPr>
          <w:rFonts w:ascii="Times New Roman" w:hAnsi="Times New Roman" w:cs="Times New Roman"/>
          <w:b/>
        </w:rPr>
        <w:t>Sampling</w:t>
      </w:r>
    </w:p>
    <w:p w14:paraId="5CC86836" w14:textId="77777777" w:rsidR="00E65E36" w:rsidRPr="00E65E36" w:rsidRDefault="00E65E36" w:rsidP="00E65E36"/>
    <w:p w14:paraId="711A4913" w14:textId="7AD6C842" w:rsidR="00C72557" w:rsidRDefault="001E345F" w:rsidP="001261E1">
      <w:pPr>
        <w:spacing w:line="480" w:lineRule="auto"/>
        <w:ind w:firstLine="360"/>
        <w:rPr>
          <w:rFonts w:ascii="Times New Roman" w:eastAsia="Times New Roman" w:hAnsi="Times New Roman" w:cs="Times New Roman"/>
          <w:sz w:val="24"/>
          <w:szCs w:val="24"/>
          <w:lang w:val="en-US"/>
        </w:rPr>
      </w:pPr>
      <w:r w:rsidRPr="00E65E36">
        <w:rPr>
          <w:rFonts w:ascii="Times New Roman" w:hAnsi="Times New Roman" w:cs="Times New Roman"/>
          <w:sz w:val="24"/>
          <w:szCs w:val="24"/>
        </w:rPr>
        <w:t xml:space="preserve">In 2020, the Eastern District of California issued an opinion regarding the use of statistical sampling to determine liability in False Claims Act cases. In </w:t>
      </w:r>
      <w:r w:rsidRPr="009A0EEE">
        <w:rPr>
          <w:rFonts w:ascii="Times New Roman" w:hAnsi="Times New Roman" w:cs="Times New Roman"/>
          <w:i/>
          <w:sz w:val="24"/>
          <w:szCs w:val="24"/>
        </w:rPr>
        <w:t>United States</w:t>
      </w:r>
      <w:r w:rsidR="00365773">
        <w:rPr>
          <w:rFonts w:ascii="Times New Roman" w:hAnsi="Times New Roman" w:cs="Times New Roman"/>
          <w:i/>
          <w:sz w:val="24"/>
          <w:szCs w:val="24"/>
        </w:rPr>
        <w:t xml:space="preserve"> ex rel. </w:t>
      </w:r>
      <w:r w:rsidR="00365773" w:rsidRPr="00365773">
        <w:rPr>
          <w:rFonts w:ascii="Times New Roman" w:hAnsi="Times New Roman" w:cs="Times New Roman"/>
          <w:i/>
          <w:sz w:val="24"/>
          <w:szCs w:val="24"/>
        </w:rPr>
        <w:t>Schmuckley</w:t>
      </w:r>
      <w:r w:rsidRPr="009A0EEE">
        <w:rPr>
          <w:rFonts w:ascii="Times New Roman" w:hAnsi="Times New Roman" w:cs="Times New Roman"/>
          <w:i/>
          <w:sz w:val="24"/>
          <w:szCs w:val="24"/>
        </w:rPr>
        <w:t xml:space="preserve"> v. Rite Aid Corporation</w:t>
      </w:r>
      <w:r w:rsidRPr="00E65E36">
        <w:rPr>
          <w:rFonts w:ascii="Times New Roman" w:hAnsi="Times New Roman" w:cs="Times New Roman"/>
          <w:sz w:val="24"/>
          <w:szCs w:val="24"/>
        </w:rPr>
        <w:t>,</w:t>
      </w:r>
      <w:r w:rsidR="009A0EEE">
        <w:rPr>
          <w:rStyle w:val="FootnoteReference"/>
          <w:rFonts w:ascii="Times New Roman" w:hAnsi="Times New Roman" w:cs="Times New Roman"/>
          <w:sz w:val="24"/>
          <w:szCs w:val="24"/>
        </w:rPr>
        <w:footnoteReference w:id="91"/>
      </w:r>
      <w:r w:rsidRPr="00E65E36">
        <w:rPr>
          <w:rFonts w:ascii="Times New Roman" w:hAnsi="Times New Roman" w:cs="Times New Roman"/>
          <w:sz w:val="24"/>
          <w:szCs w:val="24"/>
        </w:rPr>
        <w:t xml:space="preserve"> </w:t>
      </w:r>
      <w:r w:rsidR="00365773">
        <w:rPr>
          <w:rFonts w:ascii="Times New Roman" w:hAnsi="Times New Roman" w:cs="Times New Roman"/>
          <w:sz w:val="24"/>
          <w:szCs w:val="24"/>
        </w:rPr>
        <w:t>the relator</w:t>
      </w:r>
      <w:r w:rsidR="00365773" w:rsidRPr="00E65E36">
        <w:rPr>
          <w:rFonts w:ascii="Times New Roman" w:hAnsi="Times New Roman" w:cs="Times New Roman"/>
          <w:sz w:val="24"/>
          <w:szCs w:val="24"/>
        </w:rPr>
        <w:t xml:space="preserve"> </w:t>
      </w:r>
      <w:r w:rsidRPr="00E65E36">
        <w:rPr>
          <w:rFonts w:ascii="Times New Roman" w:hAnsi="Times New Roman" w:cs="Times New Roman"/>
          <w:sz w:val="24"/>
          <w:szCs w:val="24"/>
        </w:rPr>
        <w:t xml:space="preserve">brought </w:t>
      </w:r>
      <w:r w:rsidRPr="001261E1">
        <w:rPr>
          <w:rFonts w:ascii="Times New Roman" w:hAnsi="Times New Roman" w:cs="Times New Roman"/>
          <w:i/>
          <w:sz w:val="24"/>
          <w:szCs w:val="24"/>
        </w:rPr>
        <w:t>qui tam</w:t>
      </w:r>
      <w:r w:rsidRPr="00E65E36">
        <w:rPr>
          <w:rFonts w:ascii="Times New Roman" w:hAnsi="Times New Roman" w:cs="Times New Roman"/>
          <w:sz w:val="24"/>
          <w:szCs w:val="24"/>
        </w:rPr>
        <w:t xml:space="preserve"> action against Rite Aid, </w:t>
      </w:r>
      <w:r w:rsidR="004A2539">
        <w:rPr>
          <w:rFonts w:ascii="Times New Roman" w:hAnsi="Times New Roman" w:cs="Times New Roman"/>
          <w:sz w:val="24"/>
          <w:szCs w:val="24"/>
        </w:rPr>
        <w:t xml:space="preserve">in which the State of California intervened, </w:t>
      </w:r>
      <w:r w:rsidRPr="00E65E36">
        <w:rPr>
          <w:rFonts w:ascii="Times New Roman" w:hAnsi="Times New Roman" w:cs="Times New Roman"/>
          <w:sz w:val="24"/>
          <w:szCs w:val="24"/>
        </w:rPr>
        <w:t xml:space="preserve">alleging that </w:t>
      </w:r>
      <w:r w:rsidR="00365773">
        <w:rPr>
          <w:rFonts w:ascii="Times New Roman" w:hAnsi="Times New Roman" w:cs="Times New Roman"/>
          <w:sz w:val="24"/>
          <w:szCs w:val="24"/>
        </w:rPr>
        <w:t>it</w:t>
      </w:r>
      <w:r w:rsidR="00365773" w:rsidRPr="00E65E36">
        <w:rPr>
          <w:rFonts w:ascii="Times New Roman" w:hAnsi="Times New Roman" w:cs="Times New Roman"/>
          <w:sz w:val="24"/>
          <w:szCs w:val="24"/>
        </w:rPr>
        <w:t xml:space="preserve"> </w:t>
      </w:r>
      <w:r w:rsidRPr="00E65E36">
        <w:rPr>
          <w:rFonts w:ascii="Times New Roman" w:hAnsi="Times New Roman" w:cs="Times New Roman"/>
          <w:sz w:val="24"/>
          <w:szCs w:val="24"/>
        </w:rPr>
        <w:t xml:space="preserve">violated the </w:t>
      </w:r>
      <w:r w:rsidR="002D7F3F">
        <w:rPr>
          <w:rFonts w:ascii="Times New Roman" w:hAnsi="Times New Roman" w:cs="Times New Roman"/>
          <w:sz w:val="24"/>
          <w:szCs w:val="24"/>
        </w:rPr>
        <w:t>FCA</w:t>
      </w:r>
      <w:r w:rsidRPr="00E65E36">
        <w:rPr>
          <w:rFonts w:ascii="Times New Roman" w:hAnsi="Times New Roman" w:cs="Times New Roman"/>
          <w:sz w:val="24"/>
          <w:szCs w:val="24"/>
        </w:rPr>
        <w:t xml:space="preserve"> and the California False Claims Act by submitting false claims to Medi-Cal. When deciding whether to intervene, the government “</w:t>
      </w:r>
      <w:r w:rsidRPr="00E65E36">
        <w:rPr>
          <w:rFonts w:ascii="Times New Roman" w:eastAsia="Times New Roman" w:hAnsi="Times New Roman" w:cs="Times New Roman"/>
          <w:sz w:val="24"/>
          <w:szCs w:val="24"/>
          <w:lang w:val="en-US"/>
        </w:rPr>
        <w:t xml:space="preserve">deployed statistical sampling techniques to ‘determine whether intervention in this </w:t>
      </w:r>
      <w:r w:rsidRPr="001261E1">
        <w:rPr>
          <w:rFonts w:ascii="Times New Roman" w:eastAsia="Times New Roman" w:hAnsi="Times New Roman" w:cs="Times New Roman"/>
          <w:i/>
          <w:sz w:val="24"/>
          <w:szCs w:val="24"/>
          <w:lang w:val="en-US"/>
        </w:rPr>
        <w:t>qui tam</w:t>
      </w:r>
      <w:r w:rsidRPr="00E65E36">
        <w:rPr>
          <w:rFonts w:ascii="Times New Roman" w:eastAsia="Times New Roman" w:hAnsi="Times New Roman" w:cs="Times New Roman"/>
          <w:sz w:val="24"/>
          <w:szCs w:val="24"/>
          <w:lang w:val="en-US"/>
        </w:rPr>
        <w:t xml:space="preserve"> mat</w:t>
      </w:r>
      <w:r w:rsidR="009A0EEE">
        <w:rPr>
          <w:rFonts w:ascii="Times New Roman" w:eastAsia="Times New Roman" w:hAnsi="Times New Roman" w:cs="Times New Roman"/>
          <w:sz w:val="24"/>
          <w:szCs w:val="24"/>
          <w:lang w:val="en-US"/>
        </w:rPr>
        <w:t>ter was worthy and meritorious.</w:t>
      </w:r>
      <w:r w:rsidRPr="00E65E36">
        <w:rPr>
          <w:rFonts w:ascii="Times New Roman" w:eastAsia="Times New Roman" w:hAnsi="Times New Roman" w:cs="Times New Roman"/>
          <w:sz w:val="24"/>
          <w:szCs w:val="24"/>
          <w:lang w:val="en-US"/>
        </w:rPr>
        <w:t>’”</w:t>
      </w:r>
      <w:r w:rsidRPr="00E65E36">
        <w:rPr>
          <w:rStyle w:val="FootnoteReference"/>
          <w:rFonts w:ascii="Times New Roman" w:eastAsia="Times New Roman" w:hAnsi="Times New Roman" w:cs="Times New Roman"/>
          <w:sz w:val="24"/>
          <w:szCs w:val="24"/>
          <w:lang w:val="en-US"/>
        </w:rPr>
        <w:footnoteReference w:id="92"/>
      </w:r>
      <w:r w:rsidR="009A0EEE">
        <w:rPr>
          <w:rFonts w:ascii="Times New Roman" w:hAnsi="Times New Roman" w:cs="Times New Roman"/>
          <w:sz w:val="24"/>
          <w:szCs w:val="24"/>
        </w:rPr>
        <w:t xml:space="preserve"> The p</w:t>
      </w:r>
      <w:r w:rsidR="005507DE" w:rsidRPr="00E65E36">
        <w:rPr>
          <w:rFonts w:ascii="Times New Roman" w:hAnsi="Times New Roman" w:cs="Times New Roman"/>
          <w:sz w:val="24"/>
          <w:szCs w:val="24"/>
        </w:rPr>
        <w:t>laintiffs also intended to continue the use of statistical sampling of</w:t>
      </w:r>
      <w:r w:rsidR="008C728F" w:rsidRPr="00E65E36">
        <w:rPr>
          <w:rFonts w:ascii="Times New Roman" w:hAnsi="Times New Roman" w:cs="Times New Roman"/>
          <w:sz w:val="24"/>
          <w:szCs w:val="24"/>
        </w:rPr>
        <w:t xml:space="preserve"> Medi-Cal</w:t>
      </w:r>
      <w:r w:rsidR="005507DE" w:rsidRPr="00E65E36">
        <w:rPr>
          <w:rFonts w:ascii="Times New Roman" w:hAnsi="Times New Roman" w:cs="Times New Roman"/>
          <w:sz w:val="24"/>
          <w:szCs w:val="24"/>
        </w:rPr>
        <w:t xml:space="preserve"> claims</w:t>
      </w:r>
      <w:r w:rsidR="008C728F" w:rsidRPr="00E65E36">
        <w:rPr>
          <w:rFonts w:ascii="Times New Roman" w:hAnsi="Times New Roman" w:cs="Times New Roman"/>
          <w:sz w:val="24"/>
          <w:szCs w:val="24"/>
        </w:rPr>
        <w:t xml:space="preserve"> </w:t>
      </w:r>
      <w:r w:rsidR="00A0710A" w:rsidRPr="00E65E36">
        <w:rPr>
          <w:rFonts w:ascii="Times New Roman" w:hAnsi="Times New Roman" w:cs="Times New Roman"/>
          <w:sz w:val="24"/>
          <w:szCs w:val="24"/>
        </w:rPr>
        <w:t>to prove liability</w:t>
      </w:r>
      <w:r w:rsidR="008C728F" w:rsidRPr="00E65E36">
        <w:rPr>
          <w:rFonts w:ascii="Times New Roman" w:hAnsi="Times New Roman" w:cs="Times New Roman"/>
          <w:sz w:val="24"/>
          <w:szCs w:val="24"/>
        </w:rPr>
        <w:t xml:space="preserve"> after government intervention</w:t>
      </w:r>
      <w:r w:rsidR="005507DE" w:rsidRPr="00E65E36">
        <w:rPr>
          <w:rFonts w:ascii="Times New Roman" w:hAnsi="Times New Roman" w:cs="Times New Roman"/>
          <w:sz w:val="24"/>
          <w:szCs w:val="24"/>
        </w:rPr>
        <w:t>.</w:t>
      </w:r>
      <w:r w:rsidR="005507DE" w:rsidRPr="00E65E36">
        <w:rPr>
          <w:rStyle w:val="FootnoteReference"/>
          <w:rFonts w:ascii="Times New Roman" w:hAnsi="Times New Roman" w:cs="Times New Roman"/>
          <w:sz w:val="24"/>
          <w:szCs w:val="24"/>
        </w:rPr>
        <w:footnoteReference w:id="93"/>
      </w:r>
      <w:r w:rsidR="005507DE" w:rsidRPr="00E65E36">
        <w:rPr>
          <w:rFonts w:ascii="Times New Roman" w:hAnsi="Times New Roman" w:cs="Times New Roman"/>
          <w:sz w:val="24"/>
          <w:szCs w:val="24"/>
        </w:rPr>
        <w:t xml:space="preserve"> </w:t>
      </w:r>
      <w:r w:rsidR="009A0EEE">
        <w:rPr>
          <w:rFonts w:ascii="Times New Roman" w:hAnsi="Times New Roman" w:cs="Times New Roman"/>
          <w:sz w:val="24"/>
          <w:szCs w:val="24"/>
        </w:rPr>
        <w:t>T</w:t>
      </w:r>
      <w:r w:rsidR="00B518C5" w:rsidRPr="00E65E36">
        <w:rPr>
          <w:rFonts w:ascii="Times New Roman" w:hAnsi="Times New Roman" w:cs="Times New Roman"/>
          <w:sz w:val="24"/>
          <w:szCs w:val="24"/>
        </w:rPr>
        <w:t>he court ruled that “</w:t>
      </w:r>
      <w:r w:rsidR="00B518C5" w:rsidRPr="00E65E36">
        <w:rPr>
          <w:rFonts w:ascii="Times New Roman" w:eastAsia="Times New Roman" w:hAnsi="Times New Roman" w:cs="Times New Roman"/>
          <w:sz w:val="24"/>
          <w:szCs w:val="24"/>
        </w:rPr>
        <w:t>plaintiffs’ proposed use of statistical sampling is allowable in their effort to prove the falsity element of plaintiffs’ FCA and CFCA causes of action</w:t>
      </w:r>
      <w:r w:rsidR="00B518C5" w:rsidRPr="00E65E36">
        <w:rPr>
          <w:rFonts w:ascii="Times New Roman" w:eastAsia="Times New Roman" w:hAnsi="Times New Roman" w:cs="Times New Roman"/>
          <w:sz w:val="24"/>
          <w:szCs w:val="24"/>
          <w:lang w:val="en-US"/>
        </w:rPr>
        <w:t>.”</w:t>
      </w:r>
      <w:r w:rsidR="00B518C5" w:rsidRPr="00E65E36">
        <w:rPr>
          <w:rStyle w:val="FootnoteReference"/>
          <w:rFonts w:ascii="Times New Roman" w:eastAsia="Times New Roman" w:hAnsi="Times New Roman" w:cs="Times New Roman"/>
          <w:sz w:val="24"/>
          <w:szCs w:val="24"/>
          <w:lang w:val="en-US"/>
        </w:rPr>
        <w:footnoteReference w:id="94"/>
      </w:r>
      <w:r w:rsidR="00B518C5" w:rsidRPr="00E65E36">
        <w:rPr>
          <w:rFonts w:ascii="Times New Roman" w:eastAsia="Times New Roman" w:hAnsi="Times New Roman" w:cs="Times New Roman"/>
          <w:sz w:val="24"/>
          <w:szCs w:val="24"/>
          <w:lang w:val="en-US"/>
        </w:rPr>
        <w:t xml:space="preserve"> </w:t>
      </w:r>
    </w:p>
    <w:p w14:paraId="09CF433A" w14:textId="16933FDC" w:rsidR="008C728F" w:rsidRPr="008C728F" w:rsidRDefault="00B518C5" w:rsidP="001261E1">
      <w:pPr>
        <w:spacing w:line="480" w:lineRule="auto"/>
        <w:ind w:firstLine="360"/>
        <w:rPr>
          <w:rFonts w:ascii="Times New Roman" w:eastAsia="Times New Roman" w:hAnsi="Times New Roman" w:cs="Times New Roman"/>
          <w:sz w:val="24"/>
          <w:szCs w:val="24"/>
          <w:lang w:val="en-US"/>
        </w:rPr>
      </w:pPr>
      <w:r w:rsidRPr="00E65E36">
        <w:rPr>
          <w:rFonts w:ascii="Times New Roman" w:eastAsia="Times New Roman" w:hAnsi="Times New Roman" w:cs="Times New Roman"/>
          <w:sz w:val="24"/>
          <w:szCs w:val="24"/>
          <w:lang w:val="en-US"/>
        </w:rPr>
        <w:t>Next</w:t>
      </w:r>
      <w:r w:rsidR="009A0EEE">
        <w:rPr>
          <w:rFonts w:ascii="Times New Roman" w:eastAsia="Times New Roman" w:hAnsi="Times New Roman" w:cs="Times New Roman"/>
          <w:sz w:val="24"/>
          <w:szCs w:val="24"/>
          <w:lang w:val="en-US"/>
        </w:rPr>
        <w:t>,</w:t>
      </w:r>
      <w:r w:rsidRPr="00E65E36">
        <w:rPr>
          <w:rFonts w:ascii="Times New Roman" w:eastAsia="Times New Roman" w:hAnsi="Times New Roman" w:cs="Times New Roman"/>
          <w:sz w:val="24"/>
          <w:szCs w:val="24"/>
          <w:lang w:val="en-US"/>
        </w:rPr>
        <w:t xml:space="preserve"> the court addressed </w:t>
      </w:r>
      <w:r w:rsidR="008C728F" w:rsidRPr="00E65E36">
        <w:rPr>
          <w:rFonts w:ascii="Times New Roman" w:hAnsi="Times New Roman" w:cs="Times New Roman"/>
          <w:sz w:val="24"/>
          <w:szCs w:val="24"/>
        </w:rPr>
        <w:t>Rite Aid</w:t>
      </w:r>
      <w:r w:rsidRPr="00E65E36">
        <w:rPr>
          <w:rFonts w:ascii="Times New Roman" w:hAnsi="Times New Roman" w:cs="Times New Roman"/>
          <w:sz w:val="24"/>
          <w:szCs w:val="24"/>
        </w:rPr>
        <w:t>’s motion</w:t>
      </w:r>
      <w:r w:rsidR="008C728F" w:rsidRPr="00E65E36">
        <w:rPr>
          <w:rFonts w:ascii="Times New Roman" w:hAnsi="Times New Roman" w:cs="Times New Roman"/>
          <w:sz w:val="24"/>
          <w:szCs w:val="24"/>
        </w:rPr>
        <w:t xml:space="preserve"> to exclude the plaintiff’s statistical sampling methodology </w:t>
      </w:r>
      <w:r w:rsidR="004A2539">
        <w:rPr>
          <w:rFonts w:ascii="Times New Roman" w:hAnsi="Times New Roman" w:cs="Times New Roman"/>
          <w:sz w:val="24"/>
          <w:szCs w:val="24"/>
        </w:rPr>
        <w:t>because</w:t>
      </w:r>
      <w:r w:rsidRPr="00E65E36">
        <w:rPr>
          <w:rFonts w:ascii="Times New Roman" w:hAnsi="Times New Roman" w:cs="Times New Roman"/>
          <w:sz w:val="24"/>
          <w:szCs w:val="24"/>
        </w:rPr>
        <w:t xml:space="preserve"> the method</w:t>
      </w:r>
      <w:r w:rsidR="004A2539">
        <w:rPr>
          <w:rFonts w:ascii="Times New Roman" w:hAnsi="Times New Roman" w:cs="Times New Roman"/>
          <w:sz w:val="24"/>
          <w:szCs w:val="24"/>
        </w:rPr>
        <w:t>ology</w:t>
      </w:r>
      <w:r w:rsidRPr="00E65E36">
        <w:rPr>
          <w:rFonts w:ascii="Times New Roman" w:hAnsi="Times New Roman" w:cs="Times New Roman"/>
          <w:sz w:val="24"/>
          <w:szCs w:val="24"/>
        </w:rPr>
        <w:t xml:space="preserve"> proposed </w:t>
      </w:r>
      <w:r w:rsidR="003F6D4F" w:rsidRPr="00E65E36">
        <w:rPr>
          <w:rFonts w:ascii="Times New Roman" w:hAnsi="Times New Roman" w:cs="Times New Roman"/>
          <w:sz w:val="24"/>
          <w:szCs w:val="24"/>
        </w:rPr>
        <w:t>“</w:t>
      </w:r>
      <w:r w:rsidR="003F6D4F" w:rsidRPr="00E65E36">
        <w:rPr>
          <w:rFonts w:ascii="Times New Roman" w:eastAsia="Times New Roman" w:hAnsi="Times New Roman" w:cs="Times New Roman"/>
          <w:sz w:val="24"/>
          <w:szCs w:val="24"/>
          <w:lang w:val="en-US"/>
        </w:rPr>
        <w:t xml:space="preserve">fails to use the federally endorsed </w:t>
      </w:r>
      <w:r w:rsidR="003F6D4F" w:rsidRPr="00E65E36">
        <w:rPr>
          <w:rFonts w:ascii="Times New Roman" w:eastAsia="Times New Roman" w:hAnsi="Times New Roman" w:cs="Times New Roman"/>
          <w:sz w:val="24"/>
          <w:szCs w:val="24"/>
          <w:lang w:val="en-US"/>
        </w:rPr>
        <w:lastRenderedPageBreak/>
        <w:t>methodology to assess patients’ claim histories: cluster sampling</w:t>
      </w:r>
      <w:r w:rsidR="00C72557">
        <w:rPr>
          <w:rFonts w:ascii="Times New Roman" w:eastAsia="Times New Roman" w:hAnsi="Times New Roman" w:cs="Times New Roman"/>
          <w:sz w:val="24"/>
          <w:szCs w:val="24"/>
          <w:lang w:val="en-US"/>
        </w:rPr>
        <w:t>.</w:t>
      </w:r>
      <w:r w:rsidR="003F6D4F" w:rsidRPr="00E65E36">
        <w:rPr>
          <w:rFonts w:ascii="Times New Roman" w:eastAsia="Times New Roman" w:hAnsi="Times New Roman" w:cs="Times New Roman"/>
          <w:sz w:val="24"/>
          <w:szCs w:val="24"/>
          <w:lang w:val="en-US"/>
        </w:rPr>
        <w:t>”</w:t>
      </w:r>
      <w:r w:rsidR="003F6D4F" w:rsidRPr="00E65E36">
        <w:rPr>
          <w:rStyle w:val="FootnoteReference"/>
          <w:rFonts w:ascii="Times New Roman" w:eastAsia="Times New Roman" w:hAnsi="Times New Roman" w:cs="Times New Roman"/>
          <w:sz w:val="24"/>
          <w:szCs w:val="24"/>
          <w:lang w:val="en-US"/>
        </w:rPr>
        <w:footnoteReference w:id="95"/>
      </w:r>
      <w:r w:rsidR="00C72557">
        <w:rPr>
          <w:rFonts w:ascii="Times New Roman" w:eastAsia="Times New Roman" w:hAnsi="Times New Roman" w:cs="Times New Roman"/>
          <w:sz w:val="24"/>
          <w:szCs w:val="24"/>
          <w:lang w:val="en-US"/>
        </w:rPr>
        <w:t xml:space="preserve"> </w:t>
      </w:r>
      <w:r w:rsidR="004A2539">
        <w:rPr>
          <w:rFonts w:ascii="Times New Roman" w:eastAsia="Times New Roman" w:hAnsi="Times New Roman" w:cs="Times New Roman"/>
          <w:sz w:val="24"/>
          <w:szCs w:val="24"/>
          <w:lang w:val="en-US"/>
        </w:rPr>
        <w:t>Rite Aid argued</w:t>
      </w:r>
      <w:r w:rsidR="00C72557">
        <w:rPr>
          <w:rFonts w:ascii="Times New Roman" w:eastAsia="Times New Roman" w:hAnsi="Times New Roman" w:cs="Times New Roman"/>
          <w:sz w:val="24"/>
          <w:szCs w:val="24"/>
          <w:lang w:val="en-US"/>
        </w:rPr>
        <w:t xml:space="preserve"> that this</w:t>
      </w:r>
      <w:r w:rsidR="003F6D4F" w:rsidRPr="00E65E36">
        <w:rPr>
          <w:rFonts w:ascii="Times New Roman" w:eastAsia="Times New Roman" w:hAnsi="Times New Roman" w:cs="Times New Roman"/>
          <w:sz w:val="24"/>
          <w:szCs w:val="24"/>
          <w:lang w:val="en-US"/>
        </w:rPr>
        <w:t xml:space="preserve"> would “</w:t>
      </w:r>
      <w:r w:rsidR="008074DC">
        <w:rPr>
          <w:rFonts w:ascii="Times New Roman" w:eastAsia="Times New Roman" w:hAnsi="Times New Roman" w:cs="Times New Roman"/>
          <w:sz w:val="24"/>
          <w:szCs w:val="24"/>
          <w:lang w:val="en-US"/>
        </w:rPr>
        <w:t>‘</w:t>
      </w:r>
      <w:r w:rsidR="003F6D4F" w:rsidRPr="00E65E36">
        <w:rPr>
          <w:rFonts w:ascii="Times New Roman" w:eastAsia="Times New Roman" w:hAnsi="Times New Roman" w:cs="Times New Roman"/>
          <w:sz w:val="24"/>
          <w:szCs w:val="24"/>
          <w:lang w:val="en-US"/>
        </w:rPr>
        <w:t>likely exclude relevant information, lead to erroneous conclusions,’ and ultimately ‘inflate an estimate of allegedly false claims in the universe.’”</w:t>
      </w:r>
      <w:r w:rsidR="003F6D4F" w:rsidRPr="00E65E36">
        <w:rPr>
          <w:rStyle w:val="FootnoteReference"/>
          <w:rFonts w:ascii="Times New Roman" w:eastAsia="Times New Roman" w:hAnsi="Times New Roman" w:cs="Times New Roman"/>
          <w:sz w:val="24"/>
          <w:szCs w:val="24"/>
          <w:lang w:val="en-US"/>
        </w:rPr>
        <w:footnoteReference w:id="96"/>
      </w:r>
    </w:p>
    <w:p w14:paraId="2E62550B" w14:textId="321DB1C3" w:rsidR="00394636" w:rsidRPr="00394636" w:rsidRDefault="004A2539" w:rsidP="001261E1">
      <w:pPr>
        <w:spacing w:line="480" w:lineRule="auto"/>
        <w:ind w:firstLine="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c</w:t>
      </w:r>
      <w:r w:rsidR="008C728F" w:rsidRPr="00E65E36">
        <w:rPr>
          <w:rFonts w:ascii="Times New Roman" w:eastAsia="Times New Roman" w:hAnsi="Times New Roman" w:cs="Times New Roman"/>
          <w:sz w:val="24"/>
          <w:szCs w:val="24"/>
          <w:lang w:val="en-US"/>
        </w:rPr>
        <w:t xml:space="preserve">ourt </w:t>
      </w:r>
      <w:r w:rsidR="00B518C5" w:rsidRPr="00E65E36">
        <w:rPr>
          <w:rFonts w:ascii="Times New Roman" w:eastAsia="Times New Roman" w:hAnsi="Times New Roman" w:cs="Times New Roman"/>
          <w:sz w:val="24"/>
          <w:szCs w:val="24"/>
          <w:lang w:val="en-US"/>
        </w:rPr>
        <w:t xml:space="preserve">denied Rite Aid’s motion to exclude the plaintiff’s statistical sampling methodology, </w:t>
      </w:r>
      <w:r>
        <w:rPr>
          <w:rFonts w:ascii="Times New Roman" w:eastAsia="Times New Roman" w:hAnsi="Times New Roman" w:cs="Times New Roman"/>
          <w:sz w:val="24"/>
          <w:szCs w:val="24"/>
          <w:lang w:val="en-US"/>
        </w:rPr>
        <w:t>relying on</w:t>
      </w:r>
      <w:r w:rsidRPr="00E65E36">
        <w:rPr>
          <w:rFonts w:ascii="Times New Roman" w:eastAsia="Times New Roman" w:hAnsi="Times New Roman" w:cs="Times New Roman"/>
          <w:sz w:val="24"/>
          <w:szCs w:val="24"/>
          <w:lang w:val="en-US"/>
        </w:rPr>
        <w:t xml:space="preserve"> </w:t>
      </w:r>
      <w:r w:rsidR="00B06523" w:rsidRPr="00E65E36">
        <w:rPr>
          <w:rFonts w:ascii="Times New Roman" w:eastAsia="Times New Roman" w:hAnsi="Times New Roman" w:cs="Times New Roman"/>
          <w:sz w:val="24"/>
          <w:szCs w:val="24"/>
          <w:lang w:val="en-US"/>
        </w:rPr>
        <w:t xml:space="preserve">guidance from the Supreme Court in </w:t>
      </w:r>
      <w:r w:rsidR="00B06523" w:rsidRPr="00E65E36">
        <w:rPr>
          <w:rFonts w:ascii="Times New Roman" w:eastAsia="Times New Roman" w:hAnsi="Times New Roman" w:cs="Times New Roman"/>
          <w:i/>
          <w:sz w:val="24"/>
          <w:szCs w:val="24"/>
          <w:lang w:val="en-US"/>
        </w:rPr>
        <w:t>Daubert v. Merrell Dow Pharmaceuticals, Inc.</w:t>
      </w:r>
      <w:r>
        <w:rPr>
          <w:rFonts w:ascii="Times New Roman" w:eastAsia="Times New Roman" w:hAnsi="Times New Roman" w:cs="Times New Roman"/>
          <w:i/>
          <w:sz w:val="24"/>
          <w:szCs w:val="24"/>
          <w:lang w:val="en-US"/>
        </w:rPr>
        <w:t>,</w:t>
      </w:r>
      <w:r w:rsidR="00B06523" w:rsidRPr="00E65E36">
        <w:rPr>
          <w:rStyle w:val="FootnoteReference"/>
          <w:rFonts w:ascii="Times New Roman" w:eastAsia="Times New Roman" w:hAnsi="Times New Roman" w:cs="Times New Roman"/>
          <w:sz w:val="24"/>
          <w:szCs w:val="24"/>
          <w:lang w:val="en-US"/>
        </w:rPr>
        <w:footnoteReference w:id="97"/>
      </w:r>
      <w:r w:rsidR="00BA5325" w:rsidRPr="00E65E36">
        <w:rPr>
          <w:rFonts w:ascii="Times New Roman" w:eastAsia="Times New Roman" w:hAnsi="Times New Roman" w:cs="Times New Roman"/>
          <w:i/>
          <w:sz w:val="24"/>
          <w:szCs w:val="24"/>
          <w:lang w:val="en-US"/>
        </w:rPr>
        <w:t xml:space="preserve"> </w:t>
      </w:r>
      <w:r w:rsidR="00BA5325" w:rsidRPr="00E65E36">
        <w:rPr>
          <w:rFonts w:ascii="Times New Roman" w:eastAsia="Times New Roman" w:hAnsi="Times New Roman" w:cs="Times New Roman"/>
          <w:sz w:val="24"/>
          <w:szCs w:val="24"/>
          <w:lang w:val="en-US"/>
        </w:rPr>
        <w:t>the standard by which courts can determine the validity of scientific methodologies.</w:t>
      </w:r>
      <w:r w:rsidR="00BA5325" w:rsidRPr="00E65E36">
        <w:rPr>
          <w:rStyle w:val="FootnoteReference"/>
          <w:rFonts w:ascii="Times New Roman" w:eastAsia="Times New Roman" w:hAnsi="Times New Roman" w:cs="Times New Roman"/>
          <w:sz w:val="24"/>
          <w:szCs w:val="24"/>
          <w:lang w:val="en-US"/>
        </w:rPr>
        <w:footnoteReference w:id="98"/>
      </w:r>
      <w:r w:rsidR="00B06523" w:rsidRPr="00E65E36">
        <w:rPr>
          <w:rFonts w:ascii="Times New Roman" w:eastAsia="Times New Roman" w:hAnsi="Times New Roman" w:cs="Times New Roman"/>
          <w:sz w:val="24"/>
          <w:szCs w:val="24"/>
          <w:lang w:val="en-US"/>
        </w:rPr>
        <w:t xml:space="preserve"> First, addressing the question of whether the sampling methodology ha</w:t>
      </w:r>
      <w:r>
        <w:rPr>
          <w:rFonts w:ascii="Times New Roman" w:eastAsia="Times New Roman" w:hAnsi="Times New Roman" w:cs="Times New Roman"/>
          <w:sz w:val="24"/>
          <w:szCs w:val="24"/>
          <w:lang w:val="en-US"/>
        </w:rPr>
        <w:t>d</w:t>
      </w:r>
      <w:r w:rsidR="00B06523" w:rsidRPr="00E65E36">
        <w:rPr>
          <w:rFonts w:ascii="Times New Roman" w:eastAsia="Times New Roman" w:hAnsi="Times New Roman" w:cs="Times New Roman"/>
          <w:sz w:val="24"/>
          <w:szCs w:val="24"/>
          <w:lang w:val="en-US"/>
        </w:rPr>
        <w:t xml:space="preserve"> been tested, the district court </w:t>
      </w:r>
      <w:r w:rsidR="009C7EA4" w:rsidRPr="00E65E36">
        <w:rPr>
          <w:rFonts w:ascii="Times New Roman" w:eastAsia="Times New Roman" w:hAnsi="Times New Roman" w:cs="Times New Roman"/>
          <w:sz w:val="24"/>
          <w:szCs w:val="24"/>
          <w:lang w:val="en-US"/>
        </w:rPr>
        <w:t>determined</w:t>
      </w:r>
      <w:r>
        <w:rPr>
          <w:rFonts w:ascii="Times New Roman" w:eastAsia="Times New Roman" w:hAnsi="Times New Roman" w:cs="Times New Roman"/>
          <w:sz w:val="24"/>
          <w:szCs w:val="24"/>
          <w:lang w:val="en-US"/>
        </w:rPr>
        <w:t xml:space="preserve"> based on expert testimony</w:t>
      </w:r>
      <w:r w:rsidR="009C7EA4" w:rsidRPr="00E65E36">
        <w:rPr>
          <w:rFonts w:ascii="Times New Roman" w:eastAsia="Times New Roman" w:hAnsi="Times New Roman" w:cs="Times New Roman"/>
          <w:sz w:val="24"/>
          <w:szCs w:val="24"/>
          <w:lang w:val="en-US"/>
        </w:rPr>
        <w:t xml:space="preserve"> that </w:t>
      </w:r>
      <w:r w:rsidR="00BA5325" w:rsidRPr="00E65E36">
        <w:rPr>
          <w:rFonts w:ascii="Times New Roman" w:eastAsia="Times New Roman" w:hAnsi="Times New Roman" w:cs="Times New Roman"/>
          <w:sz w:val="24"/>
          <w:szCs w:val="24"/>
          <w:lang w:val="en-US"/>
        </w:rPr>
        <w:t>it</w:t>
      </w:r>
      <w:r w:rsidR="009C7EA4" w:rsidRPr="00E65E3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wa</w:t>
      </w:r>
      <w:r w:rsidR="00BA5325" w:rsidRPr="00E65E36">
        <w:rPr>
          <w:rFonts w:ascii="Times New Roman" w:eastAsia="Times New Roman" w:hAnsi="Times New Roman" w:cs="Times New Roman"/>
          <w:sz w:val="24"/>
          <w:szCs w:val="24"/>
          <w:lang w:val="en-US"/>
        </w:rPr>
        <w:t>s</w:t>
      </w:r>
      <w:r w:rsidR="009C7EA4" w:rsidRPr="00E65E36">
        <w:rPr>
          <w:rFonts w:ascii="Times New Roman" w:eastAsia="Times New Roman" w:hAnsi="Times New Roman" w:cs="Times New Roman"/>
          <w:sz w:val="24"/>
          <w:szCs w:val="24"/>
          <w:lang w:val="en-US"/>
        </w:rPr>
        <w:t xml:space="preserve"> “sufficiently reliable at </w:t>
      </w:r>
      <w:r>
        <w:rPr>
          <w:rFonts w:ascii="Times New Roman" w:eastAsia="Times New Roman" w:hAnsi="Times New Roman" w:cs="Times New Roman"/>
          <w:sz w:val="24"/>
          <w:szCs w:val="24"/>
          <w:lang w:val="en-US"/>
        </w:rPr>
        <w:t xml:space="preserve">[that] </w:t>
      </w:r>
      <w:r w:rsidR="009C7EA4" w:rsidRPr="00E65E36">
        <w:rPr>
          <w:rFonts w:ascii="Times New Roman" w:eastAsia="Times New Roman" w:hAnsi="Times New Roman" w:cs="Times New Roman"/>
          <w:sz w:val="24"/>
          <w:szCs w:val="24"/>
          <w:lang w:val="en-US"/>
        </w:rPr>
        <w:t xml:space="preserve"> stage in the litigation</w:t>
      </w:r>
      <w:r w:rsidR="00005FB5" w:rsidRPr="00E65E36">
        <w:rPr>
          <w:rFonts w:ascii="Times New Roman" w:eastAsia="Times New Roman" w:hAnsi="Times New Roman" w:cs="Times New Roman"/>
          <w:sz w:val="24"/>
          <w:szCs w:val="24"/>
          <w:lang w:val="en-US"/>
        </w:rPr>
        <w:t>,</w:t>
      </w:r>
      <w:r w:rsidR="009C7EA4" w:rsidRPr="00E65E36">
        <w:rPr>
          <w:rFonts w:ascii="Times New Roman" w:eastAsia="Times New Roman" w:hAnsi="Times New Roman" w:cs="Times New Roman"/>
          <w:sz w:val="24"/>
          <w:szCs w:val="24"/>
          <w:lang w:val="en-US"/>
        </w:rPr>
        <w:t>”</w:t>
      </w:r>
      <w:r w:rsidR="00BA5325" w:rsidRPr="00E65E36">
        <w:rPr>
          <w:rStyle w:val="FootnoteReference"/>
          <w:rFonts w:ascii="Times New Roman" w:eastAsia="Times New Roman" w:hAnsi="Times New Roman" w:cs="Times New Roman"/>
          <w:sz w:val="24"/>
          <w:szCs w:val="24"/>
          <w:lang w:val="en-US"/>
        </w:rPr>
        <w:footnoteReference w:id="99"/>
      </w:r>
      <w:r w:rsidR="00005FB5" w:rsidRPr="00E65E36">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sz w:val="24"/>
          <w:szCs w:val="24"/>
          <w:lang w:val="en-US"/>
        </w:rPr>
        <w:t xml:space="preserve">noted that </w:t>
      </w:r>
      <w:r w:rsidR="00005FB5" w:rsidRPr="00E65E36">
        <w:rPr>
          <w:rFonts w:ascii="Times New Roman" w:eastAsia="Times New Roman" w:hAnsi="Times New Roman" w:cs="Times New Roman"/>
          <w:sz w:val="24"/>
          <w:szCs w:val="24"/>
          <w:lang w:val="en-US"/>
        </w:rPr>
        <w:t>if doubts ar</w:t>
      </w:r>
      <w:r>
        <w:rPr>
          <w:rFonts w:ascii="Times New Roman" w:eastAsia="Times New Roman" w:hAnsi="Times New Roman" w:cs="Times New Roman"/>
          <w:sz w:val="24"/>
          <w:szCs w:val="24"/>
          <w:lang w:val="en-US"/>
        </w:rPr>
        <w:t>o</w:t>
      </w:r>
      <w:r w:rsidR="00005FB5" w:rsidRPr="00E65E36">
        <w:rPr>
          <w:rFonts w:ascii="Times New Roman" w:eastAsia="Times New Roman" w:hAnsi="Times New Roman" w:cs="Times New Roman"/>
          <w:sz w:val="24"/>
          <w:szCs w:val="24"/>
          <w:lang w:val="en-US"/>
        </w:rPr>
        <w:t xml:space="preserve">se, Rite Aid </w:t>
      </w:r>
      <w:r>
        <w:rPr>
          <w:rFonts w:ascii="Times New Roman" w:eastAsia="Times New Roman" w:hAnsi="Times New Roman" w:cs="Times New Roman"/>
          <w:sz w:val="24"/>
          <w:szCs w:val="24"/>
          <w:lang w:val="en-US"/>
        </w:rPr>
        <w:t>would</w:t>
      </w:r>
      <w:r w:rsidR="00005FB5" w:rsidRPr="00E65E36">
        <w:rPr>
          <w:rFonts w:ascii="Times New Roman" w:eastAsia="Times New Roman" w:hAnsi="Times New Roman" w:cs="Times New Roman"/>
          <w:sz w:val="24"/>
          <w:szCs w:val="24"/>
          <w:lang w:val="en-US"/>
        </w:rPr>
        <w:t xml:space="preserve"> have the ability to “vigorously expose those flaws through cross-examination.”</w:t>
      </w:r>
      <w:r w:rsidR="00005FB5" w:rsidRPr="00E65E36">
        <w:rPr>
          <w:rStyle w:val="FootnoteReference"/>
          <w:rFonts w:ascii="Times New Roman" w:eastAsia="Times New Roman" w:hAnsi="Times New Roman" w:cs="Times New Roman"/>
          <w:sz w:val="24"/>
          <w:szCs w:val="24"/>
          <w:lang w:val="en-US"/>
        </w:rPr>
        <w:footnoteReference w:id="100"/>
      </w:r>
      <w:r w:rsidR="00BA5325" w:rsidRPr="00E65E36">
        <w:rPr>
          <w:rFonts w:ascii="Times New Roman" w:eastAsia="Times New Roman" w:hAnsi="Times New Roman" w:cs="Times New Roman"/>
          <w:sz w:val="24"/>
          <w:szCs w:val="24"/>
          <w:lang w:val="en-US"/>
        </w:rPr>
        <w:t xml:space="preserve"> Second, addressing the potential error rate of the methodology, the </w:t>
      </w:r>
      <w:r w:rsidR="00005FB5" w:rsidRPr="00E65E36">
        <w:rPr>
          <w:rFonts w:ascii="Times New Roman" w:eastAsia="Times New Roman" w:hAnsi="Times New Roman" w:cs="Times New Roman"/>
          <w:sz w:val="24"/>
          <w:szCs w:val="24"/>
          <w:lang w:val="en-US"/>
        </w:rPr>
        <w:t xml:space="preserve">court concluded that the “plaintiffs’ methodology </w:t>
      </w:r>
      <w:r>
        <w:rPr>
          <w:rFonts w:ascii="Times New Roman" w:eastAsia="Times New Roman" w:hAnsi="Times New Roman" w:cs="Times New Roman"/>
          <w:sz w:val="24"/>
          <w:szCs w:val="24"/>
          <w:lang w:val="en-US"/>
        </w:rPr>
        <w:t>[was]</w:t>
      </w:r>
      <w:r w:rsidR="00005FB5" w:rsidRPr="00E65E36">
        <w:rPr>
          <w:rFonts w:ascii="Times New Roman" w:eastAsia="Times New Roman" w:hAnsi="Times New Roman" w:cs="Times New Roman"/>
          <w:sz w:val="24"/>
          <w:szCs w:val="24"/>
          <w:lang w:val="en-US"/>
        </w:rPr>
        <w:t xml:space="preserve"> valid because measurement error </w:t>
      </w:r>
      <w:r>
        <w:rPr>
          <w:rFonts w:ascii="Times New Roman" w:eastAsia="Times New Roman" w:hAnsi="Times New Roman" w:cs="Times New Roman"/>
          <w:sz w:val="24"/>
          <w:szCs w:val="24"/>
          <w:lang w:val="en-US"/>
        </w:rPr>
        <w:t>[would]</w:t>
      </w:r>
      <w:r w:rsidR="00005FB5" w:rsidRPr="00E65E36">
        <w:rPr>
          <w:rFonts w:ascii="Times New Roman" w:eastAsia="Times New Roman" w:hAnsi="Times New Roman" w:cs="Times New Roman"/>
          <w:sz w:val="24"/>
          <w:szCs w:val="24"/>
          <w:lang w:val="en-US"/>
        </w:rPr>
        <w:t xml:space="preserve"> largely be calculated as data unfold</w:t>
      </w:r>
      <w:r>
        <w:rPr>
          <w:rFonts w:ascii="Times New Roman" w:eastAsia="Times New Roman" w:hAnsi="Times New Roman" w:cs="Times New Roman"/>
          <w:sz w:val="24"/>
          <w:szCs w:val="24"/>
          <w:lang w:val="en-US"/>
        </w:rPr>
        <w:t>[ed]</w:t>
      </w:r>
      <w:r w:rsidR="00005FB5" w:rsidRPr="00E65E36">
        <w:rPr>
          <w:rFonts w:ascii="Times New Roman" w:eastAsia="Times New Roman" w:hAnsi="Times New Roman" w:cs="Times New Roman"/>
          <w:sz w:val="24"/>
          <w:szCs w:val="24"/>
          <w:lang w:val="en-US"/>
        </w:rPr>
        <w:t xml:space="preserve"> and plaintiffs cross-check</w:t>
      </w:r>
      <w:r>
        <w:rPr>
          <w:rFonts w:ascii="Times New Roman" w:eastAsia="Times New Roman" w:hAnsi="Times New Roman" w:cs="Times New Roman"/>
          <w:sz w:val="24"/>
          <w:szCs w:val="24"/>
          <w:lang w:val="en-US"/>
        </w:rPr>
        <w:t>[ed]</w:t>
      </w:r>
      <w:r w:rsidR="00005FB5" w:rsidRPr="00E65E36">
        <w:rPr>
          <w:rFonts w:ascii="Times New Roman" w:eastAsia="Times New Roman" w:hAnsi="Times New Roman" w:cs="Times New Roman"/>
          <w:sz w:val="24"/>
          <w:szCs w:val="24"/>
          <w:lang w:val="en-US"/>
        </w:rPr>
        <w:t xml:space="preserve"> sampling data against the individual medical records associated with each claim.”</w:t>
      </w:r>
      <w:r w:rsidR="00005FB5" w:rsidRPr="00E65E36">
        <w:rPr>
          <w:rStyle w:val="FootnoteReference"/>
          <w:rFonts w:ascii="Times New Roman" w:eastAsia="Times New Roman" w:hAnsi="Times New Roman" w:cs="Times New Roman"/>
          <w:sz w:val="24"/>
          <w:szCs w:val="24"/>
          <w:lang w:val="en-US"/>
        </w:rPr>
        <w:footnoteReference w:id="101"/>
      </w:r>
      <w:r w:rsidR="00005FB5" w:rsidRPr="00E65E36">
        <w:rPr>
          <w:rFonts w:ascii="Times New Roman" w:eastAsia="Times New Roman" w:hAnsi="Times New Roman" w:cs="Times New Roman"/>
          <w:sz w:val="24"/>
          <w:szCs w:val="24"/>
          <w:lang w:val="en-US"/>
        </w:rPr>
        <w:t xml:space="preserve"> Finally, as for the other </w:t>
      </w:r>
      <w:r w:rsidR="00005FB5" w:rsidRPr="00B367DA">
        <w:rPr>
          <w:rFonts w:ascii="Times New Roman" w:eastAsia="Times New Roman" w:hAnsi="Times New Roman" w:cs="Times New Roman"/>
          <w:i/>
          <w:sz w:val="24"/>
          <w:szCs w:val="24"/>
          <w:lang w:val="en-US"/>
        </w:rPr>
        <w:t xml:space="preserve">Daubert </w:t>
      </w:r>
      <w:r w:rsidR="00005FB5" w:rsidRPr="00E65E36">
        <w:rPr>
          <w:rFonts w:ascii="Times New Roman" w:eastAsia="Times New Roman" w:hAnsi="Times New Roman" w:cs="Times New Roman"/>
          <w:sz w:val="24"/>
          <w:szCs w:val="24"/>
          <w:lang w:val="en-US"/>
        </w:rPr>
        <w:t>factors, such as acceptance in the scientific community, the court found these “easily satisfied” as “stratified random sampling and total survey design are well-established, well-supported testing methods.”</w:t>
      </w:r>
      <w:r w:rsidR="00005FB5" w:rsidRPr="00E65E36">
        <w:rPr>
          <w:rStyle w:val="FootnoteReference"/>
          <w:rFonts w:ascii="Times New Roman" w:eastAsia="Times New Roman" w:hAnsi="Times New Roman" w:cs="Times New Roman"/>
          <w:sz w:val="24"/>
          <w:szCs w:val="24"/>
          <w:lang w:val="en-US"/>
        </w:rPr>
        <w:footnoteReference w:id="102"/>
      </w:r>
      <w:r w:rsidR="00751F2E" w:rsidRPr="00E65E36">
        <w:rPr>
          <w:rFonts w:ascii="Times New Roman" w:eastAsia="Times New Roman" w:hAnsi="Times New Roman" w:cs="Times New Roman"/>
          <w:sz w:val="24"/>
          <w:szCs w:val="24"/>
          <w:lang w:val="en-US"/>
        </w:rPr>
        <w:t xml:space="preserve"> </w:t>
      </w:r>
    </w:p>
    <w:p w14:paraId="7F25D9AC" w14:textId="016A4410" w:rsidR="00B01382" w:rsidRPr="00394636" w:rsidRDefault="00B01382" w:rsidP="00394636">
      <w:pPr>
        <w:pStyle w:val="Heading1"/>
        <w:numPr>
          <w:ilvl w:val="0"/>
          <w:numId w:val="1"/>
        </w:numPr>
        <w:spacing w:line="480" w:lineRule="auto"/>
        <w:rPr>
          <w:rFonts w:ascii="Times New Roman" w:hAnsi="Times New Roman" w:cs="Times New Roman"/>
          <w:i/>
        </w:rPr>
      </w:pPr>
      <w:r w:rsidRPr="001261E1">
        <w:rPr>
          <w:rFonts w:ascii="Times New Roman" w:hAnsi="Times New Roman" w:cs="Times New Roman"/>
        </w:rPr>
        <w:lastRenderedPageBreak/>
        <w:t>Litigation Developments</w:t>
      </w:r>
    </w:p>
    <w:p w14:paraId="00000002" w14:textId="5090FFE4" w:rsidR="008837EB" w:rsidRPr="00394636" w:rsidRDefault="00B01382" w:rsidP="00394636">
      <w:pPr>
        <w:pStyle w:val="Heading2"/>
        <w:numPr>
          <w:ilvl w:val="0"/>
          <w:numId w:val="7"/>
        </w:numPr>
        <w:spacing w:line="480" w:lineRule="auto"/>
        <w:rPr>
          <w:rFonts w:ascii="Times New Roman" w:hAnsi="Times New Roman" w:cs="Times New Roman"/>
          <w:b/>
        </w:rPr>
      </w:pPr>
      <w:r w:rsidRPr="00394636">
        <w:rPr>
          <w:rFonts w:ascii="Times New Roman" w:hAnsi="Times New Roman" w:cs="Times New Roman"/>
          <w:b/>
        </w:rPr>
        <w:t>Government Dismissal Authority</w:t>
      </w:r>
    </w:p>
    <w:p w14:paraId="414863AC" w14:textId="3C198FCE" w:rsidR="004A2539" w:rsidRDefault="004A2539" w:rsidP="004A2539">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w:t>
      </w:r>
      <w:r w:rsidR="00C03027">
        <w:rPr>
          <w:rFonts w:ascii="Times New Roman" w:eastAsia="Times New Roman" w:hAnsi="Times New Roman" w:cs="Times New Roman"/>
          <w:sz w:val="24"/>
          <w:szCs w:val="24"/>
        </w:rPr>
        <w:t xml:space="preserve">3730(c)(2)(A) of the </w:t>
      </w:r>
      <w:r>
        <w:rPr>
          <w:rFonts w:ascii="Times New Roman" w:eastAsia="Times New Roman" w:hAnsi="Times New Roman" w:cs="Times New Roman"/>
          <w:sz w:val="24"/>
          <w:szCs w:val="24"/>
        </w:rPr>
        <w:t>FCA provides that:</w:t>
      </w:r>
    </w:p>
    <w:p w14:paraId="41DCD333" w14:textId="7A826BFD" w:rsidR="004A2539" w:rsidRDefault="004A2539" w:rsidP="004A2539">
      <w:pPr>
        <w:spacing w:line="240" w:lineRule="auto"/>
        <w:ind w:left="720" w:right="720"/>
        <w:rPr>
          <w:rFonts w:ascii="Times New Roman" w:eastAsia="Times New Roman" w:hAnsi="Times New Roman" w:cs="Times New Roman"/>
          <w:sz w:val="24"/>
          <w:szCs w:val="24"/>
        </w:rPr>
      </w:pPr>
      <w:r w:rsidRPr="004A2539">
        <w:rPr>
          <w:rFonts w:ascii="Times New Roman" w:eastAsia="Times New Roman" w:hAnsi="Times New Roman" w:cs="Times New Roman"/>
          <w:sz w:val="24"/>
          <w:szCs w:val="24"/>
        </w:rPr>
        <w:t>The Government may dismiss the action notwithstanding the objections of the person initiating the action if the person has been notified by the Government of the filing of the motion and the court has provided the person with an opportunity for a hearing on the motion.</w:t>
      </w:r>
    </w:p>
    <w:p w14:paraId="7875CBA8" w14:textId="77777777" w:rsidR="004A2539" w:rsidRDefault="004A2539" w:rsidP="001261E1">
      <w:pPr>
        <w:spacing w:line="240" w:lineRule="auto"/>
        <w:ind w:left="720" w:right="720"/>
        <w:rPr>
          <w:rFonts w:ascii="Times New Roman" w:eastAsia="Times New Roman" w:hAnsi="Times New Roman" w:cs="Times New Roman"/>
          <w:sz w:val="24"/>
          <w:szCs w:val="24"/>
        </w:rPr>
      </w:pPr>
    </w:p>
    <w:p w14:paraId="51417740" w14:textId="36562505" w:rsidR="004F0921" w:rsidRDefault="004A2539" w:rsidP="004A253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has been circuit split regarding the implications of this provision, namely whether the government has “unfettered discretion”</w:t>
      </w:r>
      <w:r w:rsidR="004F0921">
        <w:rPr>
          <w:rFonts w:ascii="Times New Roman" w:eastAsia="Times New Roman" w:hAnsi="Times New Roman" w:cs="Times New Roman"/>
          <w:sz w:val="24"/>
          <w:szCs w:val="24"/>
        </w:rPr>
        <w:t xml:space="preserve"> to dismiss a </w:t>
      </w:r>
      <w:r w:rsidR="004F0921" w:rsidRPr="001261E1">
        <w:rPr>
          <w:rFonts w:ascii="Times New Roman" w:eastAsia="Times New Roman" w:hAnsi="Times New Roman" w:cs="Times New Roman"/>
          <w:i/>
          <w:sz w:val="24"/>
          <w:szCs w:val="24"/>
        </w:rPr>
        <w:t>qui tam</w:t>
      </w:r>
      <w:r w:rsidR="004F0921">
        <w:rPr>
          <w:rFonts w:ascii="Times New Roman" w:eastAsia="Times New Roman" w:hAnsi="Times New Roman" w:cs="Times New Roman"/>
          <w:sz w:val="24"/>
          <w:szCs w:val="24"/>
        </w:rPr>
        <w:t xml:space="preserve"> action</w:t>
      </w:r>
      <w:r w:rsidR="00862B9E">
        <w:rPr>
          <w:rFonts w:ascii="Times New Roman" w:eastAsia="Times New Roman" w:hAnsi="Times New Roman" w:cs="Times New Roman"/>
          <w:sz w:val="24"/>
          <w:szCs w:val="24"/>
        </w:rPr>
        <w:t xml:space="preserve"> </w:t>
      </w:r>
      <w:r w:rsidR="00862B9E" w:rsidRPr="00862B9E">
        <w:rPr>
          <w:rFonts w:ascii="Times New Roman" w:eastAsia="Times New Roman" w:hAnsi="Times New Roman" w:cs="Times New Roman"/>
          <w:sz w:val="24"/>
          <w:szCs w:val="24"/>
        </w:rPr>
        <w:t xml:space="preserve">(the </w:t>
      </w:r>
      <w:r w:rsidR="00862B9E" w:rsidRPr="00862B9E">
        <w:rPr>
          <w:rFonts w:ascii="Times New Roman" w:eastAsia="Times New Roman" w:hAnsi="Times New Roman" w:cs="Times New Roman"/>
          <w:i/>
          <w:sz w:val="24"/>
          <w:szCs w:val="24"/>
        </w:rPr>
        <w:t xml:space="preserve">Swift </w:t>
      </w:r>
      <w:r w:rsidR="00862B9E" w:rsidRPr="00862B9E">
        <w:rPr>
          <w:rFonts w:ascii="Times New Roman" w:eastAsia="Times New Roman" w:hAnsi="Times New Roman" w:cs="Times New Roman"/>
          <w:sz w:val="24"/>
          <w:szCs w:val="24"/>
        </w:rPr>
        <w:t>standard)</w:t>
      </w:r>
      <w:r w:rsidR="004F0921">
        <w:rPr>
          <w:rStyle w:val="FootnoteReference"/>
          <w:rFonts w:ascii="Times New Roman" w:eastAsia="Times New Roman" w:hAnsi="Times New Roman" w:cs="Times New Roman"/>
          <w:sz w:val="24"/>
          <w:szCs w:val="24"/>
        </w:rPr>
        <w:footnoteReference w:id="103"/>
      </w:r>
      <w:r w:rsidR="00862B9E">
        <w:rPr>
          <w:rFonts w:ascii="Times New Roman" w:eastAsia="Times New Roman" w:hAnsi="Times New Roman" w:cs="Times New Roman"/>
          <w:sz w:val="24"/>
          <w:szCs w:val="24"/>
        </w:rPr>
        <w:t>,</w:t>
      </w:r>
      <w:r w:rsidR="004F0921">
        <w:rPr>
          <w:rFonts w:ascii="Times New Roman" w:eastAsia="Times New Roman" w:hAnsi="Times New Roman" w:cs="Times New Roman"/>
          <w:sz w:val="24"/>
          <w:szCs w:val="24"/>
        </w:rPr>
        <w:t xml:space="preserve"> or whether more is required, specifically whether the government can demonstrate a valid government purpose that is rationally related to dismissal</w:t>
      </w:r>
      <w:r w:rsidR="00862B9E">
        <w:rPr>
          <w:rFonts w:ascii="Times New Roman" w:eastAsia="Times New Roman" w:hAnsi="Times New Roman" w:cs="Times New Roman"/>
          <w:sz w:val="24"/>
          <w:szCs w:val="24"/>
        </w:rPr>
        <w:t xml:space="preserve"> (the </w:t>
      </w:r>
      <w:r w:rsidR="00862B9E" w:rsidRPr="001261E1">
        <w:rPr>
          <w:rFonts w:ascii="Times New Roman" w:eastAsia="Times New Roman" w:hAnsi="Times New Roman" w:cs="Times New Roman"/>
          <w:i/>
          <w:sz w:val="24"/>
          <w:szCs w:val="24"/>
        </w:rPr>
        <w:t>Sequoia Orange</w:t>
      </w:r>
      <w:r w:rsidR="00862B9E">
        <w:rPr>
          <w:rFonts w:ascii="Times New Roman" w:eastAsia="Times New Roman" w:hAnsi="Times New Roman" w:cs="Times New Roman"/>
          <w:sz w:val="24"/>
          <w:szCs w:val="24"/>
        </w:rPr>
        <w:t xml:space="preserve"> standard)</w:t>
      </w:r>
      <w:r w:rsidR="004F0921">
        <w:rPr>
          <w:rFonts w:ascii="Times New Roman" w:eastAsia="Times New Roman" w:hAnsi="Times New Roman" w:cs="Times New Roman"/>
          <w:sz w:val="24"/>
          <w:szCs w:val="24"/>
        </w:rPr>
        <w:t>.</w:t>
      </w:r>
      <w:r w:rsidR="004F0921">
        <w:rPr>
          <w:rStyle w:val="FootnoteReference"/>
          <w:rFonts w:ascii="Times New Roman" w:eastAsia="Times New Roman" w:hAnsi="Times New Roman" w:cs="Times New Roman"/>
          <w:sz w:val="24"/>
          <w:szCs w:val="24"/>
        </w:rPr>
        <w:footnoteReference w:id="104"/>
      </w:r>
      <w:r w:rsidR="004F0921">
        <w:rPr>
          <w:rFonts w:ascii="Times New Roman" w:eastAsia="Times New Roman" w:hAnsi="Times New Roman" w:cs="Times New Roman"/>
          <w:sz w:val="24"/>
          <w:szCs w:val="24"/>
        </w:rPr>
        <w:t xml:space="preserve">  </w:t>
      </w:r>
    </w:p>
    <w:p w14:paraId="05260A54" w14:textId="0B3831F9" w:rsidR="00C72557" w:rsidRDefault="00C03027" w:rsidP="008F1E2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significant </w:t>
      </w:r>
      <w:r w:rsidR="008074DC">
        <w:rPr>
          <w:rFonts w:ascii="Times New Roman" w:eastAsia="Times New Roman" w:hAnsi="Times New Roman" w:cs="Times New Roman"/>
          <w:sz w:val="24"/>
          <w:szCs w:val="24"/>
        </w:rPr>
        <w:t xml:space="preserve">2020 </w:t>
      </w:r>
      <w:r>
        <w:rPr>
          <w:rFonts w:ascii="Times New Roman" w:eastAsia="Times New Roman" w:hAnsi="Times New Roman" w:cs="Times New Roman"/>
          <w:sz w:val="24"/>
          <w:szCs w:val="24"/>
        </w:rPr>
        <w:t>decision</w:t>
      </w:r>
      <w:r w:rsidR="008074D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regarding this authority </w:t>
      </w:r>
      <w:r w:rsidR="008074DC">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United States ex. rel. Thrower v. Academy Mortgage</w:t>
      </w:r>
      <w:r w:rsidR="004F0921">
        <w:rPr>
          <w:rFonts w:ascii="Times New Roman" w:eastAsia="Times New Roman" w:hAnsi="Times New Roman" w:cs="Times New Roman"/>
          <w:i/>
          <w:sz w:val="24"/>
          <w:szCs w:val="24"/>
        </w:rPr>
        <w:t>.</w:t>
      </w:r>
      <w:r w:rsidRPr="001261E1">
        <w:rPr>
          <w:rFonts w:ascii="Times New Roman" w:eastAsia="Times New Roman" w:hAnsi="Times New Roman" w:cs="Times New Roman"/>
          <w:sz w:val="24"/>
          <w:szCs w:val="24"/>
          <w:vertAlign w:val="superscript"/>
        </w:rPr>
        <w:footnoteReference w:id="105"/>
      </w:r>
      <w:r>
        <w:rPr>
          <w:rFonts w:ascii="Times New Roman" w:eastAsia="Times New Roman" w:hAnsi="Times New Roman" w:cs="Times New Roman"/>
          <w:i/>
          <w:sz w:val="24"/>
          <w:szCs w:val="24"/>
        </w:rPr>
        <w:t xml:space="preserve"> </w:t>
      </w:r>
      <w:r w:rsidR="008074DC">
        <w:rPr>
          <w:rFonts w:ascii="Times New Roman" w:eastAsia="Times New Roman" w:hAnsi="Times New Roman" w:cs="Times New Roman"/>
          <w:sz w:val="24"/>
          <w:szCs w:val="24"/>
        </w:rPr>
        <w:t xml:space="preserve">In </w:t>
      </w:r>
      <w:r w:rsidR="008074DC">
        <w:rPr>
          <w:rFonts w:ascii="Times New Roman" w:eastAsia="Times New Roman" w:hAnsi="Times New Roman" w:cs="Times New Roman"/>
          <w:i/>
          <w:sz w:val="24"/>
          <w:szCs w:val="24"/>
        </w:rPr>
        <w:t>Thrower</w:t>
      </w:r>
      <w:r w:rsidR="008074DC">
        <w:rPr>
          <w:rFonts w:ascii="Times New Roman" w:eastAsia="Times New Roman" w:hAnsi="Times New Roman" w:cs="Times New Roman"/>
          <w:sz w:val="24"/>
          <w:szCs w:val="24"/>
        </w:rPr>
        <w:t>,</w:t>
      </w:r>
      <w:r w:rsidR="008074DC">
        <w:rPr>
          <w:rFonts w:ascii="Times New Roman" w:eastAsia="Times New Roman" w:hAnsi="Times New Roman" w:cs="Times New Roman"/>
          <w:i/>
          <w:sz w:val="24"/>
          <w:szCs w:val="24"/>
        </w:rPr>
        <w:t xml:space="preserve"> </w:t>
      </w:r>
      <w:r w:rsidR="008074DC">
        <w:rPr>
          <w:rFonts w:ascii="Times New Roman" w:eastAsia="Times New Roman" w:hAnsi="Times New Roman" w:cs="Times New Roman"/>
          <w:sz w:val="24"/>
          <w:szCs w:val="24"/>
        </w:rPr>
        <w:t>t</w:t>
      </w:r>
      <w:r w:rsidR="004F0921">
        <w:rPr>
          <w:rFonts w:ascii="Times New Roman" w:eastAsia="Times New Roman" w:hAnsi="Times New Roman" w:cs="Times New Roman"/>
          <w:sz w:val="24"/>
          <w:szCs w:val="24"/>
        </w:rPr>
        <w:t xml:space="preserve">he government moved to dismiss the action, and the district court denied the motion to dismiss, following the </w:t>
      </w:r>
      <w:r w:rsidR="00862B9E">
        <w:rPr>
          <w:rFonts w:ascii="Times New Roman" w:eastAsia="Times New Roman" w:hAnsi="Times New Roman" w:cs="Times New Roman"/>
          <w:i/>
          <w:sz w:val="24"/>
          <w:szCs w:val="24"/>
        </w:rPr>
        <w:t xml:space="preserve">Sequoia Orange </w:t>
      </w:r>
      <w:r w:rsidR="00862B9E">
        <w:rPr>
          <w:rFonts w:ascii="Times New Roman" w:eastAsia="Times New Roman" w:hAnsi="Times New Roman" w:cs="Times New Roman"/>
          <w:sz w:val="24"/>
          <w:szCs w:val="24"/>
        </w:rPr>
        <w:t xml:space="preserve">standard, finding that the government </w:t>
      </w:r>
      <w:r w:rsidR="00862B9E" w:rsidRPr="00862B9E">
        <w:rPr>
          <w:rFonts w:ascii="Times New Roman" w:eastAsia="Times New Roman" w:hAnsi="Times New Roman" w:cs="Times New Roman"/>
          <w:sz w:val="24"/>
          <w:szCs w:val="24"/>
        </w:rPr>
        <w:t xml:space="preserve">failed to </w:t>
      </w:r>
      <w:r w:rsidR="00862B9E">
        <w:rPr>
          <w:rFonts w:ascii="Times New Roman" w:eastAsia="Times New Roman" w:hAnsi="Times New Roman" w:cs="Times New Roman"/>
          <w:sz w:val="24"/>
          <w:szCs w:val="24"/>
        </w:rPr>
        <w:t>demonstrate</w:t>
      </w:r>
      <w:r w:rsidR="00862B9E" w:rsidRPr="00862B9E">
        <w:rPr>
          <w:rFonts w:ascii="Times New Roman" w:eastAsia="Times New Roman" w:hAnsi="Times New Roman" w:cs="Times New Roman"/>
          <w:sz w:val="24"/>
          <w:szCs w:val="24"/>
        </w:rPr>
        <w:t xml:space="preserve"> a valid governmental purpose related to the dismissal and failed to fully investigate the allegations of the complaint.</w:t>
      </w:r>
      <w:r w:rsidR="00862B9E">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he government appeal</w:t>
      </w:r>
      <w:r w:rsidR="00862B9E">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und</w:t>
      </w:r>
      <w:r w:rsidR="00C72557">
        <w:rPr>
          <w:rFonts w:ascii="Times New Roman" w:eastAsia="Times New Roman" w:hAnsi="Times New Roman" w:cs="Times New Roman"/>
          <w:sz w:val="24"/>
          <w:szCs w:val="24"/>
        </w:rPr>
        <w:t>er the collateral order doctrine</w:t>
      </w:r>
      <w:r w:rsidR="00862B9E">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 Ninth Circuit </w:t>
      </w:r>
      <w:r w:rsidR="00862B9E">
        <w:rPr>
          <w:rFonts w:ascii="Times New Roman" w:eastAsia="Times New Roman" w:hAnsi="Times New Roman" w:cs="Times New Roman"/>
          <w:sz w:val="24"/>
          <w:szCs w:val="24"/>
        </w:rPr>
        <w:t xml:space="preserve">found </w:t>
      </w:r>
      <w:r>
        <w:rPr>
          <w:rFonts w:ascii="Times New Roman" w:eastAsia="Times New Roman" w:hAnsi="Times New Roman" w:cs="Times New Roman"/>
          <w:sz w:val="24"/>
          <w:szCs w:val="24"/>
        </w:rPr>
        <w:t xml:space="preserve">that the </w:t>
      </w:r>
      <w:r w:rsidR="00B37A84" w:rsidRPr="00B37A84">
        <w:rPr>
          <w:rFonts w:ascii="Times New Roman" w:eastAsia="Times New Roman" w:hAnsi="Times New Roman" w:cs="Times New Roman"/>
          <w:sz w:val="24"/>
          <w:szCs w:val="24"/>
        </w:rPr>
        <w:t xml:space="preserve">interests implicated by </w:t>
      </w:r>
      <w:r w:rsidR="00B37A84">
        <w:rPr>
          <w:rFonts w:ascii="Times New Roman" w:eastAsia="Times New Roman" w:hAnsi="Times New Roman" w:cs="Times New Roman"/>
          <w:sz w:val="24"/>
          <w:szCs w:val="24"/>
        </w:rPr>
        <w:t xml:space="preserve">the district court’s denial of the government’s </w:t>
      </w:r>
      <w:r w:rsidR="00B37A84" w:rsidRPr="00B37A84">
        <w:rPr>
          <w:rFonts w:ascii="Times New Roman" w:eastAsia="Times New Roman" w:hAnsi="Times New Roman" w:cs="Times New Roman"/>
          <w:sz w:val="24"/>
          <w:szCs w:val="24"/>
        </w:rPr>
        <w:t xml:space="preserve">motion to dismiss </w:t>
      </w:r>
      <w:r w:rsidR="00B37A84">
        <w:rPr>
          <w:rFonts w:ascii="Times New Roman" w:eastAsia="Times New Roman" w:hAnsi="Times New Roman" w:cs="Times New Roman"/>
          <w:sz w:val="24"/>
          <w:szCs w:val="24"/>
        </w:rPr>
        <w:t>were</w:t>
      </w:r>
      <w:r w:rsidR="00B37A84" w:rsidRPr="00B37A84">
        <w:rPr>
          <w:rFonts w:ascii="Times New Roman" w:eastAsia="Times New Roman" w:hAnsi="Times New Roman" w:cs="Times New Roman"/>
          <w:sz w:val="24"/>
          <w:szCs w:val="24"/>
        </w:rPr>
        <w:t xml:space="preserve"> not sufficient to justify </w:t>
      </w:r>
      <w:r w:rsidR="00304123">
        <w:rPr>
          <w:rFonts w:ascii="Times New Roman" w:eastAsia="Times New Roman" w:hAnsi="Times New Roman" w:cs="Times New Roman"/>
          <w:sz w:val="24"/>
          <w:szCs w:val="24"/>
        </w:rPr>
        <w:t>an appeal under the</w:t>
      </w:r>
      <w:r w:rsidR="00B37A84" w:rsidRPr="00B37A84">
        <w:rPr>
          <w:rFonts w:ascii="Times New Roman" w:eastAsia="Times New Roman" w:hAnsi="Times New Roman" w:cs="Times New Roman"/>
          <w:sz w:val="24"/>
          <w:szCs w:val="24"/>
        </w:rPr>
        <w:t xml:space="preserve"> collateral order doctrine</w:t>
      </w:r>
      <w:r w:rsidR="00304123">
        <w:rPr>
          <w:rFonts w:ascii="Times New Roman" w:eastAsia="Times New Roman" w:hAnsi="Times New Roman" w:cs="Times New Roman"/>
          <w:sz w:val="24"/>
          <w:szCs w:val="24"/>
        </w:rPr>
        <w:t xml:space="preserve">, particularly where </w:t>
      </w:r>
      <w:r w:rsidR="00B37A84" w:rsidRPr="00B37A84">
        <w:rPr>
          <w:rFonts w:ascii="Times New Roman" w:eastAsia="Times New Roman" w:hAnsi="Times New Roman" w:cs="Times New Roman"/>
          <w:sz w:val="24"/>
          <w:szCs w:val="24"/>
        </w:rPr>
        <w:t xml:space="preserve">the </w:t>
      </w:r>
      <w:r w:rsidR="00304123">
        <w:rPr>
          <w:rFonts w:ascii="Times New Roman" w:eastAsia="Times New Roman" w:hAnsi="Times New Roman" w:cs="Times New Roman"/>
          <w:sz w:val="24"/>
          <w:szCs w:val="24"/>
        </w:rPr>
        <w:t>g</w:t>
      </w:r>
      <w:r w:rsidR="00B37A84" w:rsidRPr="00B37A84">
        <w:rPr>
          <w:rFonts w:ascii="Times New Roman" w:eastAsia="Times New Roman" w:hAnsi="Times New Roman" w:cs="Times New Roman"/>
          <w:sz w:val="24"/>
          <w:szCs w:val="24"/>
        </w:rPr>
        <w:t xml:space="preserve">overnment </w:t>
      </w:r>
      <w:r w:rsidR="00304123">
        <w:rPr>
          <w:rFonts w:ascii="Times New Roman" w:eastAsia="Times New Roman" w:hAnsi="Times New Roman" w:cs="Times New Roman"/>
          <w:sz w:val="24"/>
          <w:szCs w:val="24"/>
        </w:rPr>
        <w:t xml:space="preserve">declined to intervene.  The court noted that </w:t>
      </w:r>
      <w:r w:rsidR="004E37D4">
        <w:rPr>
          <w:rFonts w:ascii="Times New Roman" w:eastAsia="Times New Roman" w:hAnsi="Times New Roman" w:cs="Times New Roman"/>
          <w:sz w:val="24"/>
          <w:szCs w:val="24"/>
        </w:rPr>
        <w:t xml:space="preserve">it could not </w:t>
      </w:r>
      <w:r>
        <w:rPr>
          <w:rFonts w:ascii="Times New Roman" w:eastAsia="Times New Roman" w:hAnsi="Times New Roman" w:cs="Times New Roman"/>
          <w:sz w:val="24"/>
          <w:szCs w:val="24"/>
        </w:rPr>
        <w:t>“escape the conclusion that the Government</w:t>
      </w:r>
      <w:r w:rsidR="004E37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true interest in dismissing this case </w:t>
      </w:r>
      <w:r w:rsidR="004E37D4">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what it </w:t>
      </w:r>
      <w:r w:rsidR="004E37D4">
        <w:rPr>
          <w:rFonts w:ascii="Times New Roman" w:eastAsia="Times New Roman" w:hAnsi="Times New Roman" w:cs="Times New Roman"/>
          <w:sz w:val="24"/>
          <w:szCs w:val="24"/>
        </w:rPr>
        <w:t xml:space="preserve">[had] </w:t>
      </w:r>
      <w:r>
        <w:rPr>
          <w:rFonts w:ascii="Times New Roman" w:eastAsia="Times New Roman" w:hAnsi="Times New Roman" w:cs="Times New Roman"/>
          <w:sz w:val="24"/>
          <w:szCs w:val="24"/>
        </w:rPr>
        <w:t xml:space="preserve">repeatedly maintained throughout this litigation: </w:t>
      </w:r>
      <w:r>
        <w:rPr>
          <w:rFonts w:ascii="Times New Roman" w:eastAsia="Times New Roman" w:hAnsi="Times New Roman" w:cs="Times New Roman"/>
          <w:sz w:val="24"/>
          <w:szCs w:val="24"/>
        </w:rPr>
        <w:lastRenderedPageBreak/>
        <w:t>avoiding burdensome discovery expenses in a case the Government does not think will ultimately be worth the cost.”</w:t>
      </w:r>
      <w:r>
        <w:rPr>
          <w:rFonts w:ascii="Times New Roman" w:eastAsia="Times New Roman" w:hAnsi="Times New Roman" w:cs="Times New Roman"/>
          <w:sz w:val="24"/>
          <w:szCs w:val="24"/>
          <w:vertAlign w:val="superscript"/>
        </w:rPr>
        <w:footnoteReference w:id="106"/>
      </w:r>
      <w:r>
        <w:rPr>
          <w:rFonts w:ascii="Times New Roman" w:eastAsia="Times New Roman" w:hAnsi="Times New Roman" w:cs="Times New Roman"/>
          <w:sz w:val="24"/>
          <w:szCs w:val="24"/>
        </w:rPr>
        <w:t xml:space="preserve"> </w:t>
      </w:r>
      <w:r w:rsidR="004E37D4">
        <w:rPr>
          <w:rFonts w:ascii="Times New Roman" w:eastAsia="Times New Roman" w:hAnsi="Times New Roman" w:cs="Times New Roman"/>
          <w:sz w:val="24"/>
          <w:szCs w:val="24"/>
        </w:rPr>
        <w:t xml:space="preserve">The court explained </w:t>
      </w:r>
      <w:r>
        <w:rPr>
          <w:rFonts w:ascii="Times New Roman" w:eastAsia="Times New Roman" w:hAnsi="Times New Roman" w:cs="Times New Roman"/>
          <w:sz w:val="24"/>
          <w:szCs w:val="24"/>
        </w:rPr>
        <w:t>that “it would not be appropriate for us to expand the collateral order doctrine to accommodate these atypical cases.”</w:t>
      </w:r>
      <w:r>
        <w:rPr>
          <w:rFonts w:ascii="Times New Roman" w:eastAsia="Times New Roman" w:hAnsi="Times New Roman" w:cs="Times New Roman"/>
          <w:sz w:val="24"/>
          <w:szCs w:val="24"/>
          <w:vertAlign w:val="superscript"/>
        </w:rPr>
        <w:footnoteReference w:id="107"/>
      </w:r>
      <w:r>
        <w:rPr>
          <w:rFonts w:ascii="Times New Roman" w:eastAsia="Times New Roman" w:hAnsi="Times New Roman" w:cs="Times New Roman"/>
          <w:sz w:val="24"/>
          <w:szCs w:val="24"/>
        </w:rPr>
        <w:t xml:space="preserve"> </w:t>
      </w:r>
    </w:p>
    <w:p w14:paraId="0000002A" w14:textId="45359A2F" w:rsidR="008837EB" w:rsidRDefault="00C03027" w:rsidP="001261E1">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4E37D4" w:rsidRPr="004E37D4">
        <w:rPr>
          <w:rFonts w:ascii="Times New Roman" w:eastAsia="Times New Roman" w:hAnsi="Times New Roman" w:cs="Times New Roman"/>
          <w:i/>
          <w:sz w:val="24"/>
          <w:szCs w:val="24"/>
        </w:rPr>
        <w:t>U</w:t>
      </w:r>
      <w:r w:rsidR="008074DC">
        <w:rPr>
          <w:rFonts w:ascii="Times New Roman" w:eastAsia="Times New Roman" w:hAnsi="Times New Roman" w:cs="Times New Roman"/>
          <w:i/>
          <w:sz w:val="24"/>
          <w:szCs w:val="24"/>
        </w:rPr>
        <w:t>nited States</w:t>
      </w:r>
      <w:r w:rsidR="004E37D4" w:rsidRPr="004E37D4">
        <w:rPr>
          <w:rFonts w:ascii="Times New Roman" w:eastAsia="Times New Roman" w:hAnsi="Times New Roman" w:cs="Times New Roman"/>
          <w:i/>
          <w:sz w:val="24"/>
          <w:szCs w:val="24"/>
        </w:rPr>
        <w:t xml:space="preserve"> ex. Rel. CIMZNHCA v. UCB, Inc.</w:t>
      </w:r>
      <w:r w:rsidR="004E37D4" w:rsidRPr="004E37D4">
        <w:rPr>
          <w:rFonts w:ascii="Times New Roman" w:eastAsia="Times New Roman" w:hAnsi="Times New Roman" w:cs="Times New Roman"/>
          <w:sz w:val="24"/>
          <w:szCs w:val="24"/>
        </w:rPr>
        <w:t>,</w:t>
      </w:r>
      <w:r w:rsidR="004E37D4" w:rsidRPr="004E37D4">
        <w:rPr>
          <w:rFonts w:ascii="Times New Roman" w:eastAsia="Times New Roman" w:hAnsi="Times New Roman" w:cs="Times New Roman"/>
          <w:sz w:val="24"/>
          <w:szCs w:val="24"/>
          <w:vertAlign w:val="superscript"/>
        </w:rPr>
        <w:footnoteReference w:id="108"/>
      </w:r>
      <w:r w:rsidR="004E37D4" w:rsidRPr="004E37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4E37D4">
        <w:rPr>
          <w:rFonts w:ascii="Times New Roman" w:eastAsia="Times New Roman" w:hAnsi="Times New Roman" w:cs="Times New Roman"/>
          <w:sz w:val="24"/>
          <w:szCs w:val="24"/>
        </w:rPr>
        <w:t>Seventh C</w:t>
      </w:r>
      <w:r>
        <w:rPr>
          <w:rFonts w:ascii="Times New Roman" w:eastAsia="Times New Roman" w:hAnsi="Times New Roman" w:cs="Times New Roman"/>
          <w:sz w:val="24"/>
          <w:szCs w:val="24"/>
        </w:rPr>
        <w:t>ircuit took a different approach</w:t>
      </w:r>
      <w:r w:rsidR="004E37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E37D4">
        <w:rPr>
          <w:rFonts w:ascii="Times New Roman" w:eastAsia="Times New Roman" w:hAnsi="Times New Roman" w:cs="Times New Roman"/>
          <w:sz w:val="24"/>
          <w:szCs w:val="24"/>
        </w:rPr>
        <w:t xml:space="preserve">In weighing the </w:t>
      </w:r>
      <w:r w:rsidR="00896125">
        <w:rPr>
          <w:rFonts w:ascii="Times New Roman" w:eastAsia="Times New Roman" w:hAnsi="Times New Roman" w:cs="Times New Roman"/>
          <w:sz w:val="24"/>
          <w:szCs w:val="24"/>
        </w:rPr>
        <w:t xml:space="preserve">whether the standard for reviewing the government’s dismissal authority should be the </w:t>
      </w:r>
      <w:r w:rsidR="00896125" w:rsidRPr="001261E1">
        <w:rPr>
          <w:rFonts w:ascii="Times New Roman" w:eastAsia="Times New Roman" w:hAnsi="Times New Roman" w:cs="Times New Roman"/>
          <w:i/>
          <w:sz w:val="24"/>
          <w:szCs w:val="24"/>
        </w:rPr>
        <w:t>Sequoia Orange</w:t>
      </w:r>
      <w:r w:rsidR="00896125">
        <w:rPr>
          <w:rFonts w:ascii="Times New Roman" w:eastAsia="Times New Roman" w:hAnsi="Times New Roman" w:cs="Times New Roman"/>
          <w:sz w:val="24"/>
          <w:szCs w:val="24"/>
        </w:rPr>
        <w:t xml:space="preserve"> or </w:t>
      </w:r>
      <w:r w:rsidR="00896125" w:rsidRPr="001261E1">
        <w:rPr>
          <w:rFonts w:ascii="Times New Roman" w:eastAsia="Times New Roman" w:hAnsi="Times New Roman" w:cs="Times New Roman"/>
          <w:i/>
          <w:sz w:val="24"/>
          <w:szCs w:val="24"/>
        </w:rPr>
        <w:t>Swift</w:t>
      </w:r>
      <w:r w:rsidR="00896125">
        <w:rPr>
          <w:rFonts w:ascii="Times New Roman" w:eastAsia="Times New Roman" w:hAnsi="Times New Roman" w:cs="Times New Roman"/>
          <w:sz w:val="24"/>
          <w:szCs w:val="24"/>
        </w:rPr>
        <w:t xml:space="preserve"> standard</w:t>
      </w:r>
      <w:r>
        <w:rPr>
          <w:rFonts w:ascii="Times New Roman" w:eastAsia="Times New Roman" w:hAnsi="Times New Roman" w:cs="Times New Roman"/>
          <w:sz w:val="24"/>
          <w:szCs w:val="24"/>
        </w:rPr>
        <w:t>,</w:t>
      </w:r>
      <w:r w:rsidR="00896125">
        <w:rPr>
          <w:rFonts w:ascii="Times New Roman" w:eastAsia="Times New Roman" w:hAnsi="Times New Roman" w:cs="Times New Roman"/>
          <w:sz w:val="24"/>
          <w:szCs w:val="24"/>
        </w:rPr>
        <w:t xml:space="preserve"> the court </w:t>
      </w:r>
      <w:r w:rsidR="00697A85">
        <w:rPr>
          <w:rFonts w:ascii="Times New Roman" w:eastAsia="Times New Roman" w:hAnsi="Times New Roman" w:cs="Times New Roman"/>
          <w:sz w:val="24"/>
          <w:szCs w:val="24"/>
        </w:rPr>
        <w:t>opined that</w:t>
      </w:r>
      <w:r>
        <w:rPr>
          <w:rFonts w:ascii="Times New Roman" w:eastAsia="Times New Roman" w:hAnsi="Times New Roman" w:cs="Times New Roman"/>
          <w:sz w:val="24"/>
          <w:szCs w:val="24"/>
        </w:rPr>
        <w:t xml:space="preserve"> “the correct answer lies much nearer to </w:t>
      </w:r>
      <w:hyperlink r:id="rId8">
        <w:r>
          <w:rPr>
            <w:rFonts w:ascii="Times New Roman" w:eastAsia="Times New Roman" w:hAnsi="Times New Roman" w:cs="Times New Roman"/>
            <w:i/>
            <w:sz w:val="24"/>
            <w:szCs w:val="24"/>
          </w:rPr>
          <w:t>Swift</w:t>
        </w:r>
      </w:hyperlink>
      <w:r w:rsidR="00697A8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09"/>
      </w:r>
      <w:r>
        <w:rPr>
          <w:rFonts w:ascii="Times New Roman" w:eastAsia="Times New Roman" w:hAnsi="Times New Roman" w:cs="Times New Roman"/>
          <w:sz w:val="24"/>
          <w:szCs w:val="24"/>
        </w:rPr>
        <w:t xml:space="preserve"> </w:t>
      </w:r>
      <w:r w:rsidR="00697A85">
        <w:rPr>
          <w:rFonts w:ascii="Times New Roman" w:eastAsia="Times New Roman" w:hAnsi="Times New Roman" w:cs="Times New Roman"/>
          <w:sz w:val="24"/>
          <w:szCs w:val="24"/>
        </w:rPr>
        <w:t>The court decided to treat the government’s motion to dismiss as a motion to intervene, which it maintained the government was</w:t>
      </w:r>
      <w:r w:rsidR="00E518D1">
        <w:rPr>
          <w:rFonts w:ascii="Times New Roman" w:eastAsia="Times New Roman" w:hAnsi="Times New Roman" w:cs="Times New Roman"/>
          <w:sz w:val="24"/>
          <w:szCs w:val="24"/>
        </w:rPr>
        <w:t xml:space="preserve"> required to do prior to dismissal</w:t>
      </w:r>
      <w:r w:rsidR="00B423A8">
        <w:rPr>
          <w:rFonts w:ascii="Times New Roman" w:eastAsia="Times New Roman" w:hAnsi="Times New Roman" w:cs="Times New Roman"/>
          <w:sz w:val="24"/>
          <w:szCs w:val="24"/>
        </w:rPr>
        <w:t xml:space="preserve">, then reversed the decision of the district court denying the defendant’s motion to dismiss, explaining that once the government intervenes, Rule </w:t>
      </w:r>
      <w:r w:rsidR="00B423A8" w:rsidRPr="008F1E23">
        <w:rPr>
          <w:rFonts w:ascii="Times New Roman" w:eastAsia="Times New Roman" w:hAnsi="Times New Roman" w:cs="Times New Roman"/>
          <w:sz w:val="24"/>
          <w:szCs w:val="24"/>
        </w:rPr>
        <w:t>41(a)(1)(A)(i)</w:t>
      </w:r>
      <w:r w:rsidR="00B423A8">
        <w:rPr>
          <w:rFonts w:ascii="Times New Roman" w:eastAsia="Times New Roman" w:hAnsi="Times New Roman" w:cs="Times New Roman"/>
          <w:sz w:val="24"/>
          <w:szCs w:val="24"/>
        </w:rPr>
        <w:t>, which “</w:t>
      </w:r>
      <w:r w:rsidR="00B423A8" w:rsidRPr="00B423A8">
        <w:rPr>
          <w:rFonts w:ascii="Times New Roman" w:eastAsia="Times New Roman" w:hAnsi="Times New Roman" w:cs="Times New Roman"/>
          <w:sz w:val="24"/>
          <w:szCs w:val="24"/>
        </w:rPr>
        <w:t xml:space="preserve">provides that </w:t>
      </w:r>
      <w:r w:rsidR="00B423A8">
        <w:rPr>
          <w:rFonts w:ascii="Times New Roman" w:eastAsia="Times New Roman" w:hAnsi="Times New Roman" w:cs="Times New Roman"/>
          <w:sz w:val="24"/>
          <w:szCs w:val="24"/>
        </w:rPr>
        <w:t>‘</w:t>
      </w:r>
      <w:r w:rsidR="00B423A8" w:rsidRPr="00B423A8">
        <w:rPr>
          <w:rFonts w:ascii="Times New Roman" w:eastAsia="Times New Roman" w:hAnsi="Times New Roman" w:cs="Times New Roman"/>
          <w:sz w:val="24"/>
          <w:szCs w:val="24"/>
        </w:rPr>
        <w:t>the plaintiff may dismiss an action</w:t>
      </w:r>
      <w:r w:rsidR="00B423A8">
        <w:rPr>
          <w:rFonts w:ascii="Times New Roman" w:eastAsia="Times New Roman" w:hAnsi="Times New Roman" w:cs="Times New Roman"/>
          <w:sz w:val="24"/>
          <w:szCs w:val="24"/>
        </w:rPr>
        <w:t>’</w:t>
      </w:r>
      <w:r w:rsidR="00B423A8" w:rsidRPr="00B423A8">
        <w:rPr>
          <w:rFonts w:ascii="Times New Roman" w:eastAsia="Times New Roman" w:hAnsi="Times New Roman" w:cs="Times New Roman"/>
          <w:sz w:val="24"/>
          <w:szCs w:val="24"/>
        </w:rPr>
        <w:t xml:space="preserve"> by serving a notice of dismissal any time </w:t>
      </w:r>
      <w:r w:rsidR="00B423A8">
        <w:rPr>
          <w:rFonts w:ascii="Times New Roman" w:eastAsia="Times New Roman" w:hAnsi="Times New Roman" w:cs="Times New Roman"/>
          <w:sz w:val="24"/>
          <w:szCs w:val="24"/>
        </w:rPr>
        <w:t>‘</w:t>
      </w:r>
      <w:r w:rsidR="00B423A8" w:rsidRPr="00B423A8">
        <w:rPr>
          <w:rFonts w:ascii="Times New Roman" w:eastAsia="Times New Roman" w:hAnsi="Times New Roman" w:cs="Times New Roman"/>
          <w:sz w:val="24"/>
          <w:szCs w:val="24"/>
        </w:rPr>
        <w:t>before the opposing party serves either an answer or a motion for summary judgment</w:t>
      </w:r>
      <w:r w:rsidR="00B423A8">
        <w:rPr>
          <w:rFonts w:ascii="Times New Roman" w:eastAsia="Times New Roman" w:hAnsi="Times New Roman" w:cs="Times New Roman"/>
          <w:sz w:val="24"/>
          <w:szCs w:val="24"/>
        </w:rPr>
        <w:t>,’” applies.  The court explained that in this case, the defendant had not answered and so the government had an unfettered right under Rule 41 to dismiss the case.  However, the court noted that</w:t>
      </w:r>
      <w:r w:rsidR="00965F31">
        <w:rPr>
          <w:rFonts w:ascii="Times New Roman" w:eastAsia="Times New Roman" w:hAnsi="Times New Roman" w:cs="Times New Roman"/>
          <w:sz w:val="24"/>
          <w:szCs w:val="24"/>
        </w:rPr>
        <w:t xml:space="preserve"> in the event that the defendant had answered and the case was further into the litigation cycle, the relator may be entitled to a hearing to see “what terms of dismissal are ‘proper.”  </w:t>
      </w:r>
      <w:r w:rsidR="00B423A8">
        <w:rPr>
          <w:rFonts w:ascii="Times New Roman" w:eastAsia="Times New Roman" w:hAnsi="Times New Roman" w:cs="Times New Roman"/>
          <w:sz w:val="24"/>
          <w:szCs w:val="24"/>
        </w:rPr>
        <w:t xml:space="preserve">  </w:t>
      </w:r>
      <w:r w:rsidR="00B423A8" w:rsidRPr="00B423A8">
        <w:rPr>
          <w:rFonts w:ascii="Times New Roman" w:eastAsia="Times New Roman" w:hAnsi="Times New Roman" w:cs="Times New Roman"/>
          <w:sz w:val="24"/>
          <w:szCs w:val="24"/>
        </w:rPr>
        <w:t xml:space="preserve"> </w:t>
      </w:r>
    </w:p>
    <w:p w14:paraId="0000002C" w14:textId="55879F20" w:rsidR="008837EB" w:rsidRPr="00394636" w:rsidRDefault="00B01382" w:rsidP="00394636">
      <w:pPr>
        <w:pStyle w:val="Heading2"/>
        <w:numPr>
          <w:ilvl w:val="0"/>
          <w:numId w:val="7"/>
        </w:numPr>
        <w:spacing w:line="480" w:lineRule="auto"/>
        <w:rPr>
          <w:rFonts w:ascii="Times New Roman" w:hAnsi="Times New Roman" w:cs="Times New Roman"/>
          <w:b/>
        </w:rPr>
      </w:pPr>
      <w:r w:rsidRPr="00394636">
        <w:rPr>
          <w:rFonts w:ascii="Times New Roman" w:hAnsi="Times New Roman" w:cs="Times New Roman"/>
          <w:b/>
        </w:rPr>
        <w:t>Litigation Funding</w:t>
      </w:r>
    </w:p>
    <w:p w14:paraId="0000002E" w14:textId="33D8EE64" w:rsidR="008837EB" w:rsidRDefault="00C03027" w:rsidP="001261E1">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One emerging trend TAFEF is monitoring is third</w:t>
      </w:r>
      <w:r w:rsidR="008074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party litigation funding and the ways the courts interpret the relationship between relators and these outside parties. Specifically, one of </w:t>
      </w:r>
      <w:r>
        <w:rPr>
          <w:rFonts w:ascii="Times New Roman" w:eastAsia="Times New Roman" w:hAnsi="Times New Roman" w:cs="Times New Roman"/>
          <w:sz w:val="24"/>
          <w:szCs w:val="24"/>
        </w:rPr>
        <w:lastRenderedPageBreak/>
        <w:t xml:space="preserve">the questions that courts have addressed, and will continue to address, is whether these outside parties affect the interests of the relator after they enter a funding agreement. </w:t>
      </w:r>
    </w:p>
    <w:p w14:paraId="00000030" w14:textId="243E3431" w:rsidR="008837EB" w:rsidRDefault="00D83E2D" w:rsidP="00B367DA">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sidR="00C03027">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United States ex rel. </w:t>
      </w:r>
      <w:r w:rsidR="00C03027">
        <w:rPr>
          <w:rFonts w:ascii="Times New Roman" w:eastAsia="Times New Roman" w:hAnsi="Times New Roman" w:cs="Times New Roman"/>
          <w:i/>
          <w:sz w:val="24"/>
          <w:szCs w:val="24"/>
        </w:rPr>
        <w:t>Ruckh v. Salus Rehabilitation</w:t>
      </w:r>
      <w:r>
        <w:rPr>
          <w:rFonts w:ascii="Times New Roman" w:eastAsia="Times New Roman" w:hAnsi="Times New Roman" w:cs="Times New Roman"/>
          <w:sz w:val="24"/>
          <w:szCs w:val="24"/>
        </w:rPr>
        <w:t>,</w:t>
      </w:r>
      <w:r w:rsidR="00C03027">
        <w:rPr>
          <w:rFonts w:ascii="Times New Roman" w:eastAsia="Times New Roman" w:hAnsi="Times New Roman" w:cs="Times New Roman"/>
          <w:sz w:val="24"/>
          <w:szCs w:val="24"/>
          <w:vertAlign w:val="superscript"/>
        </w:rPr>
        <w:footnoteReference w:id="110"/>
      </w:r>
      <w:r w:rsidR="00C03027">
        <w:rPr>
          <w:rFonts w:ascii="Times New Roman" w:eastAsia="Times New Roman" w:hAnsi="Times New Roman" w:cs="Times New Roman"/>
          <w:sz w:val="24"/>
          <w:szCs w:val="24"/>
        </w:rPr>
        <w:t xml:space="preserve"> the relator brought </w:t>
      </w:r>
      <w:r>
        <w:rPr>
          <w:rFonts w:ascii="Times New Roman" w:eastAsia="Times New Roman" w:hAnsi="Times New Roman" w:cs="Times New Roman"/>
          <w:sz w:val="24"/>
          <w:szCs w:val="24"/>
        </w:rPr>
        <w:t xml:space="preserve">a </w:t>
      </w:r>
      <w:r w:rsidR="00C03027" w:rsidRPr="001261E1">
        <w:rPr>
          <w:rFonts w:ascii="Times New Roman" w:eastAsia="Times New Roman" w:hAnsi="Times New Roman" w:cs="Times New Roman"/>
          <w:i/>
          <w:sz w:val="24"/>
          <w:szCs w:val="24"/>
        </w:rPr>
        <w:t>qui ta</w:t>
      </w:r>
      <w:r w:rsidR="00C03027">
        <w:rPr>
          <w:rFonts w:ascii="Times New Roman" w:eastAsia="Times New Roman" w:hAnsi="Times New Roman" w:cs="Times New Roman"/>
          <w:sz w:val="24"/>
          <w:szCs w:val="24"/>
        </w:rPr>
        <w:t xml:space="preserve">m action against the operators of skilled nursing facilities and affiliated entities, alleging that they defrauded Medicare and Medicaid by failing to maintain </w:t>
      </w:r>
      <w:r>
        <w:rPr>
          <w:rFonts w:ascii="Times New Roman" w:eastAsia="Times New Roman" w:hAnsi="Times New Roman" w:cs="Times New Roman"/>
          <w:sz w:val="24"/>
          <w:szCs w:val="24"/>
        </w:rPr>
        <w:t>plans of care</w:t>
      </w:r>
      <w:r w:rsidR="00C03027">
        <w:rPr>
          <w:rFonts w:ascii="Times New Roman" w:eastAsia="Times New Roman" w:hAnsi="Times New Roman" w:cs="Times New Roman"/>
          <w:sz w:val="24"/>
          <w:szCs w:val="24"/>
        </w:rPr>
        <w:t xml:space="preserve"> and misrepresenting services through “upcoding” and “ramping.”</w:t>
      </w:r>
      <w:r w:rsidR="00C03027">
        <w:rPr>
          <w:rFonts w:ascii="Times New Roman" w:eastAsia="Times New Roman" w:hAnsi="Times New Roman" w:cs="Times New Roman"/>
          <w:sz w:val="24"/>
          <w:szCs w:val="24"/>
          <w:vertAlign w:val="superscript"/>
        </w:rPr>
        <w:footnoteReference w:id="111"/>
      </w:r>
      <w:r w:rsidR="00C03027">
        <w:rPr>
          <w:rFonts w:ascii="Times New Roman" w:eastAsia="Times New Roman" w:hAnsi="Times New Roman" w:cs="Times New Roman"/>
          <w:sz w:val="24"/>
          <w:szCs w:val="24"/>
        </w:rPr>
        <w:t xml:space="preserve"> </w:t>
      </w:r>
    </w:p>
    <w:p w14:paraId="00000031" w14:textId="30EAF42D" w:rsidR="008837EB" w:rsidRDefault="00D83E2D" w:rsidP="001261E1">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district court overturned a jury verdict in favor of the relator, she appealed to the Eleventh Circuit.  </w:t>
      </w:r>
      <w:r w:rsidR="00C03027">
        <w:rPr>
          <w:rFonts w:ascii="Times New Roman" w:eastAsia="Times New Roman" w:hAnsi="Times New Roman" w:cs="Times New Roman"/>
          <w:sz w:val="24"/>
          <w:szCs w:val="24"/>
        </w:rPr>
        <w:t xml:space="preserve">During the </w:t>
      </w:r>
      <w:r>
        <w:rPr>
          <w:rFonts w:ascii="Times New Roman" w:eastAsia="Times New Roman" w:hAnsi="Times New Roman" w:cs="Times New Roman"/>
          <w:sz w:val="24"/>
          <w:szCs w:val="24"/>
        </w:rPr>
        <w:t>pendency of the appeal</w:t>
      </w:r>
      <w:r w:rsidR="00C03027">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relator entered into an agreement with a third party to partially fund the litigation in exchange for 4% of whatever relator’s share she may receive at the conclusion of the case.  On appeal, the </w:t>
      </w:r>
      <w:r w:rsidR="00C03027">
        <w:rPr>
          <w:rFonts w:ascii="Times New Roman" w:eastAsia="Times New Roman" w:hAnsi="Times New Roman" w:cs="Times New Roman"/>
          <w:sz w:val="24"/>
          <w:szCs w:val="24"/>
        </w:rPr>
        <w:t xml:space="preserve">defendant argued that the </w:t>
      </w:r>
      <w:r>
        <w:rPr>
          <w:rFonts w:ascii="Times New Roman" w:eastAsia="Times New Roman" w:hAnsi="Times New Roman" w:cs="Times New Roman"/>
          <w:sz w:val="24"/>
          <w:szCs w:val="24"/>
        </w:rPr>
        <w:t xml:space="preserve">relator </w:t>
      </w:r>
      <w:r w:rsidR="00C03027">
        <w:rPr>
          <w:rFonts w:ascii="Times New Roman" w:eastAsia="Times New Roman" w:hAnsi="Times New Roman" w:cs="Times New Roman"/>
          <w:sz w:val="24"/>
          <w:szCs w:val="24"/>
        </w:rPr>
        <w:t xml:space="preserve">did not have the standing to serve as a </w:t>
      </w:r>
      <w:r w:rsidR="00C03027" w:rsidRPr="00C72557">
        <w:rPr>
          <w:rFonts w:ascii="Times New Roman" w:eastAsia="Times New Roman" w:hAnsi="Times New Roman" w:cs="Times New Roman"/>
          <w:i/>
          <w:sz w:val="24"/>
          <w:szCs w:val="24"/>
        </w:rPr>
        <w:t xml:space="preserve">qui tam </w:t>
      </w:r>
      <w:r w:rsidR="00C03027">
        <w:rPr>
          <w:rFonts w:ascii="Times New Roman" w:eastAsia="Times New Roman" w:hAnsi="Times New Roman" w:cs="Times New Roman"/>
          <w:sz w:val="24"/>
          <w:szCs w:val="24"/>
        </w:rPr>
        <w:t xml:space="preserve">relator </w:t>
      </w:r>
      <w:r w:rsidR="00D43EFE">
        <w:rPr>
          <w:rFonts w:ascii="Times New Roman" w:eastAsia="Times New Roman" w:hAnsi="Times New Roman" w:cs="Times New Roman"/>
          <w:sz w:val="24"/>
          <w:szCs w:val="24"/>
        </w:rPr>
        <w:t>because</w:t>
      </w:r>
      <w:r w:rsidR="00C03027">
        <w:rPr>
          <w:rFonts w:ascii="Times New Roman" w:eastAsia="Times New Roman" w:hAnsi="Times New Roman" w:cs="Times New Roman"/>
          <w:sz w:val="24"/>
          <w:szCs w:val="24"/>
        </w:rPr>
        <w:t xml:space="preserve"> “she no longer belongs to the class of </w:t>
      </w:r>
      <w:r w:rsidR="00C03027" w:rsidRPr="001261E1">
        <w:rPr>
          <w:rFonts w:ascii="Times New Roman" w:eastAsia="Times New Roman" w:hAnsi="Times New Roman" w:cs="Times New Roman"/>
          <w:i/>
          <w:sz w:val="24"/>
          <w:szCs w:val="24"/>
        </w:rPr>
        <w:t>qui tam</w:t>
      </w:r>
      <w:r w:rsidR="00C03027">
        <w:rPr>
          <w:rFonts w:ascii="Times New Roman" w:eastAsia="Times New Roman" w:hAnsi="Times New Roman" w:cs="Times New Roman"/>
          <w:sz w:val="24"/>
          <w:szCs w:val="24"/>
        </w:rPr>
        <w:t xml:space="preserve"> plaintiffs authorized to bring suit under the FCA and, therefore, the appeal must be dismissed.”</w:t>
      </w:r>
      <w:r w:rsidR="00C03027">
        <w:rPr>
          <w:rFonts w:ascii="Times New Roman" w:eastAsia="Times New Roman" w:hAnsi="Times New Roman" w:cs="Times New Roman"/>
          <w:sz w:val="24"/>
          <w:szCs w:val="24"/>
          <w:vertAlign w:val="superscript"/>
        </w:rPr>
        <w:footnoteReference w:id="112"/>
      </w:r>
      <w:r w:rsidR="00C03027">
        <w:rPr>
          <w:rFonts w:ascii="Times New Roman" w:eastAsia="Times New Roman" w:hAnsi="Times New Roman" w:cs="Times New Roman"/>
          <w:sz w:val="24"/>
          <w:szCs w:val="24"/>
        </w:rPr>
        <w:t xml:space="preserve"> </w:t>
      </w:r>
      <w:r w:rsidR="00D43EFE">
        <w:rPr>
          <w:rFonts w:ascii="Times New Roman" w:eastAsia="Times New Roman" w:hAnsi="Times New Roman" w:cs="Times New Roman"/>
          <w:sz w:val="24"/>
          <w:szCs w:val="24"/>
        </w:rPr>
        <w:t>The circuit court disagreed, noting that the a</w:t>
      </w:r>
      <w:r w:rsidR="00C03027">
        <w:rPr>
          <w:rFonts w:ascii="Times New Roman" w:eastAsia="Times New Roman" w:hAnsi="Times New Roman" w:cs="Times New Roman"/>
          <w:sz w:val="24"/>
          <w:szCs w:val="24"/>
        </w:rPr>
        <w:t xml:space="preserve">greement </w:t>
      </w:r>
      <w:r w:rsidR="00D43EFE">
        <w:rPr>
          <w:rFonts w:ascii="Times New Roman" w:eastAsia="Times New Roman" w:hAnsi="Times New Roman" w:cs="Times New Roman"/>
          <w:sz w:val="24"/>
          <w:szCs w:val="24"/>
        </w:rPr>
        <w:t>was</w:t>
      </w:r>
      <w:r w:rsidR="00C03027">
        <w:rPr>
          <w:rFonts w:ascii="Times New Roman" w:eastAsia="Times New Roman" w:hAnsi="Times New Roman" w:cs="Times New Roman"/>
          <w:sz w:val="24"/>
          <w:szCs w:val="24"/>
        </w:rPr>
        <w:t xml:space="preserve"> explicit that </w:t>
      </w:r>
      <w:r w:rsidR="00D43EFE">
        <w:rPr>
          <w:rFonts w:ascii="Times New Roman" w:eastAsia="Times New Roman" w:hAnsi="Times New Roman" w:cs="Times New Roman"/>
          <w:sz w:val="24"/>
          <w:szCs w:val="24"/>
        </w:rPr>
        <w:t xml:space="preserve">the third party </w:t>
      </w:r>
      <w:r w:rsidR="00C03027">
        <w:rPr>
          <w:rFonts w:ascii="Times New Roman" w:eastAsia="Times New Roman" w:hAnsi="Times New Roman" w:cs="Times New Roman"/>
          <w:sz w:val="24"/>
          <w:szCs w:val="24"/>
        </w:rPr>
        <w:t>ha</w:t>
      </w:r>
      <w:r w:rsidR="00D43EFE">
        <w:rPr>
          <w:rFonts w:ascii="Times New Roman" w:eastAsia="Times New Roman" w:hAnsi="Times New Roman" w:cs="Times New Roman"/>
          <w:sz w:val="24"/>
          <w:szCs w:val="24"/>
        </w:rPr>
        <w:t>d</w:t>
      </w:r>
      <w:r w:rsidR="00C03027">
        <w:rPr>
          <w:rFonts w:ascii="Times New Roman" w:eastAsia="Times New Roman" w:hAnsi="Times New Roman" w:cs="Times New Roman"/>
          <w:sz w:val="24"/>
          <w:szCs w:val="24"/>
        </w:rPr>
        <w:t xml:space="preserve"> </w:t>
      </w:r>
      <w:r w:rsidR="00D43EFE">
        <w:rPr>
          <w:rFonts w:ascii="Times New Roman" w:eastAsia="Times New Roman" w:hAnsi="Times New Roman" w:cs="Times New Roman"/>
          <w:sz w:val="24"/>
          <w:szCs w:val="24"/>
        </w:rPr>
        <w:t>“</w:t>
      </w:r>
      <w:r w:rsidR="00C03027">
        <w:rPr>
          <w:rFonts w:ascii="Times New Roman" w:eastAsia="Times New Roman" w:hAnsi="Times New Roman" w:cs="Times New Roman"/>
          <w:sz w:val="24"/>
          <w:szCs w:val="24"/>
        </w:rPr>
        <w:t>no power to influence or control this litigation</w:t>
      </w:r>
      <w:r w:rsidR="00D43EFE">
        <w:rPr>
          <w:rFonts w:ascii="Times New Roman" w:eastAsia="Times New Roman" w:hAnsi="Times New Roman" w:cs="Times New Roman"/>
          <w:sz w:val="24"/>
          <w:szCs w:val="24"/>
        </w:rPr>
        <w:t>,</w:t>
      </w:r>
      <w:r w:rsidR="00C03027">
        <w:rPr>
          <w:rFonts w:ascii="Times New Roman" w:eastAsia="Times New Roman" w:hAnsi="Times New Roman" w:cs="Times New Roman"/>
          <w:sz w:val="24"/>
          <w:szCs w:val="24"/>
        </w:rPr>
        <w:t>”</w:t>
      </w:r>
      <w:r w:rsidR="00C03027">
        <w:rPr>
          <w:rFonts w:ascii="Times New Roman" w:eastAsia="Times New Roman" w:hAnsi="Times New Roman" w:cs="Times New Roman"/>
          <w:sz w:val="24"/>
          <w:szCs w:val="24"/>
          <w:vertAlign w:val="superscript"/>
        </w:rPr>
        <w:footnoteReference w:id="113"/>
      </w:r>
      <w:r w:rsidR="00C03027">
        <w:rPr>
          <w:rFonts w:ascii="Times New Roman" w:eastAsia="Times New Roman" w:hAnsi="Times New Roman" w:cs="Times New Roman"/>
          <w:sz w:val="24"/>
          <w:szCs w:val="24"/>
        </w:rPr>
        <w:t xml:space="preserve"> </w:t>
      </w:r>
      <w:r w:rsidR="00D43EFE">
        <w:rPr>
          <w:rFonts w:ascii="Times New Roman" w:eastAsia="Times New Roman" w:hAnsi="Times New Roman" w:cs="Times New Roman"/>
          <w:sz w:val="24"/>
          <w:szCs w:val="24"/>
        </w:rPr>
        <w:t xml:space="preserve">and that the relator </w:t>
      </w:r>
      <w:r w:rsidR="00C03027">
        <w:rPr>
          <w:rFonts w:ascii="Times New Roman" w:eastAsia="Times New Roman" w:hAnsi="Times New Roman" w:cs="Times New Roman"/>
          <w:sz w:val="24"/>
          <w:szCs w:val="24"/>
        </w:rPr>
        <w:t>ha</w:t>
      </w:r>
      <w:r w:rsidR="00D43EFE">
        <w:rPr>
          <w:rFonts w:ascii="Times New Roman" w:eastAsia="Times New Roman" w:hAnsi="Times New Roman" w:cs="Times New Roman"/>
          <w:sz w:val="24"/>
          <w:szCs w:val="24"/>
        </w:rPr>
        <w:t>d</w:t>
      </w:r>
      <w:r w:rsidR="00C03027">
        <w:rPr>
          <w:rFonts w:ascii="Times New Roman" w:eastAsia="Times New Roman" w:hAnsi="Times New Roman" w:cs="Times New Roman"/>
          <w:sz w:val="24"/>
          <w:szCs w:val="24"/>
        </w:rPr>
        <w:t xml:space="preserve"> “given only a small interest—less than 4% of her share of the potential recovery in this case—to </w:t>
      </w:r>
      <w:r w:rsidR="00D43EFE">
        <w:rPr>
          <w:rFonts w:ascii="Times New Roman" w:eastAsia="Times New Roman" w:hAnsi="Times New Roman" w:cs="Times New Roman"/>
          <w:sz w:val="24"/>
          <w:szCs w:val="24"/>
        </w:rPr>
        <w:t xml:space="preserve">[the third party] </w:t>
      </w:r>
      <w:r w:rsidR="00C03027">
        <w:rPr>
          <w:rFonts w:ascii="Times New Roman" w:eastAsia="Times New Roman" w:hAnsi="Times New Roman" w:cs="Times New Roman"/>
          <w:sz w:val="24"/>
          <w:szCs w:val="24"/>
        </w:rPr>
        <w:t>in exchange for immediate liquidity,”</w:t>
      </w:r>
      <w:r w:rsidR="00C03027">
        <w:rPr>
          <w:rFonts w:ascii="Times New Roman" w:eastAsia="Times New Roman" w:hAnsi="Times New Roman" w:cs="Times New Roman"/>
          <w:sz w:val="24"/>
          <w:szCs w:val="24"/>
          <w:vertAlign w:val="superscript"/>
        </w:rPr>
        <w:footnoteReference w:id="114"/>
      </w:r>
      <w:r w:rsidR="00C03027">
        <w:rPr>
          <w:rFonts w:ascii="Times New Roman" w:eastAsia="Times New Roman" w:hAnsi="Times New Roman" w:cs="Times New Roman"/>
          <w:sz w:val="24"/>
          <w:szCs w:val="24"/>
        </w:rPr>
        <w:t xml:space="preserve"> which </w:t>
      </w:r>
      <w:r w:rsidR="00D43EFE">
        <w:rPr>
          <w:rFonts w:ascii="Times New Roman" w:eastAsia="Times New Roman" w:hAnsi="Times New Roman" w:cs="Times New Roman"/>
          <w:sz w:val="24"/>
          <w:szCs w:val="24"/>
        </w:rPr>
        <w:t xml:space="preserve">was </w:t>
      </w:r>
      <w:r w:rsidR="00C03027">
        <w:rPr>
          <w:rFonts w:ascii="Times New Roman" w:eastAsia="Times New Roman" w:hAnsi="Times New Roman" w:cs="Times New Roman"/>
          <w:sz w:val="24"/>
          <w:szCs w:val="24"/>
        </w:rPr>
        <w:t>not significant enough to show that she is no longer the “government</w:t>
      </w:r>
      <w:r w:rsidR="00D43EFE">
        <w:rPr>
          <w:rFonts w:ascii="Times New Roman" w:eastAsia="Times New Roman" w:hAnsi="Times New Roman" w:cs="Times New Roman"/>
          <w:sz w:val="24"/>
          <w:szCs w:val="24"/>
        </w:rPr>
        <w:t>’</w:t>
      </w:r>
      <w:r w:rsidR="00C03027">
        <w:rPr>
          <w:rFonts w:ascii="Times New Roman" w:eastAsia="Times New Roman" w:hAnsi="Times New Roman" w:cs="Times New Roman"/>
          <w:sz w:val="24"/>
          <w:szCs w:val="24"/>
        </w:rPr>
        <w:t>s assignee.”</w:t>
      </w:r>
      <w:r w:rsidR="00C03027">
        <w:rPr>
          <w:rFonts w:ascii="Times New Roman" w:eastAsia="Times New Roman" w:hAnsi="Times New Roman" w:cs="Times New Roman"/>
          <w:sz w:val="24"/>
          <w:szCs w:val="24"/>
          <w:vertAlign w:val="superscript"/>
        </w:rPr>
        <w:footnoteReference w:id="115"/>
      </w:r>
      <w:r w:rsidR="00C03027">
        <w:rPr>
          <w:rFonts w:ascii="Times New Roman" w:eastAsia="Times New Roman" w:hAnsi="Times New Roman" w:cs="Times New Roman"/>
          <w:sz w:val="24"/>
          <w:szCs w:val="24"/>
        </w:rPr>
        <w:t xml:space="preserve"> </w:t>
      </w:r>
      <w:r w:rsidR="00D43EFE">
        <w:rPr>
          <w:rFonts w:ascii="Times New Roman" w:eastAsia="Times New Roman" w:hAnsi="Times New Roman" w:cs="Times New Roman"/>
          <w:sz w:val="24"/>
          <w:szCs w:val="24"/>
        </w:rPr>
        <w:t>The court observed</w:t>
      </w:r>
      <w:r w:rsidR="00C03027">
        <w:rPr>
          <w:rFonts w:ascii="Times New Roman" w:eastAsia="Times New Roman" w:hAnsi="Times New Roman" w:cs="Times New Roman"/>
          <w:sz w:val="24"/>
          <w:szCs w:val="24"/>
        </w:rPr>
        <w:t xml:space="preserve"> that the </w:t>
      </w:r>
      <w:r w:rsidR="00D43EFE">
        <w:rPr>
          <w:rFonts w:ascii="Times New Roman" w:eastAsia="Times New Roman" w:hAnsi="Times New Roman" w:cs="Times New Roman"/>
          <w:sz w:val="24"/>
          <w:szCs w:val="24"/>
        </w:rPr>
        <w:t xml:space="preserve">FCA did not </w:t>
      </w:r>
      <w:r w:rsidR="00C03027">
        <w:rPr>
          <w:rFonts w:ascii="Times New Roman" w:eastAsia="Times New Roman" w:hAnsi="Times New Roman" w:cs="Times New Roman"/>
          <w:sz w:val="24"/>
          <w:szCs w:val="24"/>
        </w:rPr>
        <w:t>prohibit the relator</w:t>
      </w:r>
      <w:r w:rsidR="00D43EFE">
        <w:rPr>
          <w:rFonts w:ascii="Times New Roman" w:eastAsia="Times New Roman" w:hAnsi="Times New Roman" w:cs="Times New Roman"/>
          <w:sz w:val="24"/>
          <w:szCs w:val="24"/>
        </w:rPr>
        <w:t>’</w:t>
      </w:r>
      <w:r w:rsidR="00C03027">
        <w:rPr>
          <w:rFonts w:ascii="Times New Roman" w:eastAsia="Times New Roman" w:hAnsi="Times New Roman" w:cs="Times New Roman"/>
          <w:sz w:val="24"/>
          <w:szCs w:val="24"/>
        </w:rPr>
        <w:t xml:space="preserve">s entry into </w:t>
      </w:r>
      <w:r w:rsidR="00D43EFE">
        <w:rPr>
          <w:rFonts w:ascii="Times New Roman" w:eastAsia="Times New Roman" w:hAnsi="Times New Roman" w:cs="Times New Roman"/>
          <w:sz w:val="24"/>
          <w:szCs w:val="24"/>
        </w:rPr>
        <w:t xml:space="preserve">a third party </w:t>
      </w:r>
      <w:r w:rsidR="00C03027">
        <w:rPr>
          <w:rFonts w:ascii="Times New Roman" w:eastAsia="Times New Roman" w:hAnsi="Times New Roman" w:cs="Times New Roman"/>
          <w:sz w:val="24"/>
          <w:szCs w:val="24"/>
        </w:rPr>
        <w:t>litigation funding agreement</w:t>
      </w:r>
      <w:r w:rsidR="00D43EFE">
        <w:rPr>
          <w:rFonts w:ascii="Times New Roman" w:eastAsia="Times New Roman" w:hAnsi="Times New Roman" w:cs="Times New Roman"/>
          <w:sz w:val="24"/>
          <w:szCs w:val="24"/>
        </w:rPr>
        <w:t>.</w:t>
      </w:r>
    </w:p>
    <w:p w14:paraId="00000032" w14:textId="77777777" w:rsidR="008837EB" w:rsidRDefault="008837EB" w:rsidP="00B01382">
      <w:pPr>
        <w:spacing w:line="480" w:lineRule="auto"/>
        <w:rPr>
          <w:rFonts w:ascii="Times New Roman" w:eastAsia="Times New Roman" w:hAnsi="Times New Roman" w:cs="Times New Roman"/>
          <w:sz w:val="24"/>
          <w:szCs w:val="24"/>
        </w:rPr>
      </w:pPr>
    </w:p>
    <w:p w14:paraId="7E22BBDA" w14:textId="77777777" w:rsidR="007853B9" w:rsidRDefault="007853B9" w:rsidP="00B01382">
      <w:pPr>
        <w:spacing w:line="480" w:lineRule="auto"/>
        <w:rPr>
          <w:rFonts w:ascii="Times New Roman" w:eastAsia="Times New Roman" w:hAnsi="Times New Roman" w:cs="Times New Roman"/>
          <w:sz w:val="24"/>
          <w:szCs w:val="24"/>
        </w:rPr>
      </w:pPr>
    </w:p>
    <w:p w14:paraId="158D893E" w14:textId="6CB2DF82" w:rsidR="007853B9" w:rsidRPr="007853B9" w:rsidRDefault="00C72557" w:rsidP="007853B9">
      <w:pPr>
        <w:pStyle w:val="ListParagraph"/>
        <w:numPr>
          <w:ilvl w:val="0"/>
          <w:numId w:val="7"/>
        </w:numPr>
        <w:spacing w:line="48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Alternate Remedies</w:t>
      </w:r>
    </w:p>
    <w:p w14:paraId="4FD8A408" w14:textId="016508AE" w:rsidR="007853B9" w:rsidRDefault="007853B9" w:rsidP="00B367DA">
      <w:pPr>
        <w:spacing w:line="480" w:lineRule="auto"/>
        <w:ind w:firstLine="360"/>
        <w:rPr>
          <w:rFonts w:ascii="Times New Roman" w:hAnsi="Times New Roman" w:cs="Times New Roman"/>
          <w:sz w:val="24"/>
          <w:szCs w:val="24"/>
        </w:rPr>
      </w:pPr>
      <w:r w:rsidRPr="007853B9">
        <w:rPr>
          <w:rFonts w:ascii="Times New Roman" w:hAnsi="Times New Roman" w:cs="Times New Roman"/>
          <w:sz w:val="24"/>
          <w:szCs w:val="24"/>
        </w:rPr>
        <w:t xml:space="preserve">There were no major decisions handed down involving alternate remedies in 2020, but there are at least two cases on the horizon that you should keep your eye on in 2021.  The first, </w:t>
      </w:r>
      <w:r w:rsidRPr="007853B9">
        <w:rPr>
          <w:rFonts w:ascii="Times New Roman" w:hAnsi="Times New Roman" w:cs="Times New Roman"/>
          <w:i/>
          <w:sz w:val="24"/>
          <w:szCs w:val="24"/>
        </w:rPr>
        <w:t>United States ex rel. Guardiola v. Renown Health</w:t>
      </w:r>
      <w:r w:rsidRPr="007853B9">
        <w:rPr>
          <w:rFonts w:ascii="Times New Roman" w:hAnsi="Times New Roman" w:cs="Times New Roman"/>
          <w:sz w:val="24"/>
          <w:szCs w:val="24"/>
        </w:rPr>
        <w:t xml:space="preserve"> (Case No. 20-15831) involves relator’s claim for an alternate remedy of funds recovered by Medicare’s Recovery Audit Contractors (RAC) during audits that took place after the relator brought her claims.  The government argued, and the district court held, that funds recovered during RAC audits were not alternate remedies because the audits are not “fraud proceedings.”  The case is on appeal in the Ninth Circuit.</w:t>
      </w:r>
    </w:p>
    <w:p w14:paraId="42EFE898" w14:textId="6FFCE9A0" w:rsidR="007853B9" w:rsidRPr="007853B9" w:rsidRDefault="007853B9" w:rsidP="001261E1">
      <w:pPr>
        <w:spacing w:line="480" w:lineRule="auto"/>
        <w:ind w:firstLine="360"/>
        <w:rPr>
          <w:rFonts w:ascii="Times New Roman" w:hAnsi="Times New Roman" w:cs="Times New Roman"/>
          <w:sz w:val="24"/>
          <w:szCs w:val="24"/>
        </w:rPr>
      </w:pPr>
      <w:r w:rsidRPr="007853B9">
        <w:rPr>
          <w:rFonts w:ascii="Times New Roman" w:hAnsi="Times New Roman" w:cs="Times New Roman"/>
          <w:sz w:val="24"/>
          <w:szCs w:val="24"/>
        </w:rPr>
        <w:t xml:space="preserve">In </w:t>
      </w:r>
      <w:r w:rsidRPr="00B367DA">
        <w:rPr>
          <w:rFonts w:ascii="Times New Roman" w:hAnsi="Times New Roman" w:cs="Times New Roman"/>
          <w:i/>
          <w:sz w:val="24"/>
          <w:szCs w:val="24"/>
        </w:rPr>
        <w:t>United States ex rel. Kennedy v. Novo A/S</w:t>
      </w:r>
      <w:r w:rsidRPr="007853B9">
        <w:rPr>
          <w:rFonts w:ascii="Times New Roman" w:hAnsi="Times New Roman" w:cs="Times New Roman"/>
          <w:sz w:val="24"/>
          <w:szCs w:val="24"/>
        </w:rPr>
        <w:t xml:space="preserve"> (Case No. 20-7062), the relator claimed that she was ent</w:t>
      </w:r>
      <w:r w:rsidR="00C72557">
        <w:rPr>
          <w:rFonts w:ascii="Times New Roman" w:hAnsi="Times New Roman" w:cs="Times New Roman"/>
          <w:sz w:val="24"/>
          <w:szCs w:val="24"/>
        </w:rPr>
        <w:t xml:space="preserve">itled to an alternate remedy </w:t>
      </w:r>
      <w:r w:rsidRPr="007853B9">
        <w:rPr>
          <w:rFonts w:ascii="Times New Roman" w:hAnsi="Times New Roman" w:cs="Times New Roman"/>
          <w:sz w:val="24"/>
          <w:szCs w:val="24"/>
        </w:rPr>
        <w:t>after the government intervened in her case and settled it, then proceeded to pursue a Food, Drug, and Cosmetic Act case against the defendants to recover additional funds for the same conduct alleged by the relator.  The government argued, and the district court held, that an alternate remedy was never available to a relator if the government has intervened in her case.  The case is on appeal in the District of Columbia Circuit.</w:t>
      </w:r>
    </w:p>
    <w:p w14:paraId="59A73E87" w14:textId="77777777" w:rsidR="007853B9" w:rsidRPr="007853B9" w:rsidRDefault="007853B9" w:rsidP="007853B9">
      <w:pPr>
        <w:spacing w:line="480" w:lineRule="auto"/>
        <w:rPr>
          <w:rFonts w:ascii="Times New Roman" w:eastAsia="Times New Roman" w:hAnsi="Times New Roman" w:cs="Times New Roman"/>
          <w:sz w:val="24"/>
          <w:szCs w:val="24"/>
        </w:rPr>
      </w:pPr>
    </w:p>
    <w:p w14:paraId="00000035" w14:textId="7E101C36" w:rsidR="008837EB" w:rsidRDefault="008837EB">
      <w:pPr>
        <w:rPr>
          <w:rFonts w:ascii="Times New Roman" w:eastAsia="Times New Roman" w:hAnsi="Times New Roman" w:cs="Times New Roman"/>
          <w:sz w:val="24"/>
          <w:szCs w:val="24"/>
        </w:rPr>
      </w:pPr>
    </w:p>
    <w:sectPr w:rsidR="008837EB" w:rsidSect="00EA36E8">
      <w:footerReference w:type="even" r:id="rId9"/>
      <w:footerReference w:type="defaul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CA747" w14:textId="77777777" w:rsidR="00BE6A86" w:rsidRDefault="00BE6A86">
      <w:pPr>
        <w:spacing w:line="240" w:lineRule="auto"/>
      </w:pPr>
      <w:r>
        <w:separator/>
      </w:r>
    </w:p>
  </w:endnote>
  <w:endnote w:type="continuationSeparator" w:id="0">
    <w:p w14:paraId="5880A9C7" w14:textId="77777777" w:rsidR="00BE6A86" w:rsidRDefault="00BE6A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72109" w14:textId="77777777" w:rsidR="00D4767B" w:rsidRDefault="00D4767B" w:rsidP="001844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3D389" w14:textId="77777777" w:rsidR="00D4767B" w:rsidRDefault="00D47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C68BF" w14:textId="77777777" w:rsidR="00D4767B" w:rsidRPr="00EA36E8" w:rsidRDefault="00D4767B" w:rsidP="00184490">
    <w:pPr>
      <w:pStyle w:val="Footer"/>
      <w:framePr w:wrap="none" w:vAnchor="text" w:hAnchor="margin" w:xAlign="center" w:y="1"/>
      <w:rPr>
        <w:rStyle w:val="PageNumber"/>
        <w:rFonts w:ascii="Times New Roman" w:hAnsi="Times New Roman" w:cs="Times New Roman"/>
      </w:rPr>
    </w:pPr>
    <w:r w:rsidRPr="00EA36E8">
      <w:rPr>
        <w:rStyle w:val="PageNumber"/>
        <w:rFonts w:ascii="Times New Roman" w:hAnsi="Times New Roman" w:cs="Times New Roman"/>
      </w:rPr>
      <w:fldChar w:fldCharType="begin"/>
    </w:r>
    <w:r w:rsidRPr="00EA36E8">
      <w:rPr>
        <w:rStyle w:val="PageNumber"/>
        <w:rFonts w:ascii="Times New Roman" w:hAnsi="Times New Roman" w:cs="Times New Roman"/>
      </w:rPr>
      <w:instrText xml:space="preserve">PAGE  </w:instrText>
    </w:r>
    <w:r w:rsidRPr="00EA36E8">
      <w:rPr>
        <w:rStyle w:val="PageNumber"/>
        <w:rFonts w:ascii="Times New Roman" w:hAnsi="Times New Roman" w:cs="Times New Roman"/>
      </w:rPr>
      <w:fldChar w:fldCharType="separate"/>
    </w:r>
    <w:r>
      <w:rPr>
        <w:rStyle w:val="PageNumber"/>
        <w:rFonts w:ascii="Times New Roman" w:hAnsi="Times New Roman" w:cs="Times New Roman"/>
        <w:noProof/>
      </w:rPr>
      <w:t>10</w:t>
    </w:r>
    <w:r w:rsidRPr="00EA36E8">
      <w:rPr>
        <w:rStyle w:val="PageNumber"/>
        <w:rFonts w:ascii="Times New Roman" w:hAnsi="Times New Roman" w:cs="Times New Roman"/>
      </w:rPr>
      <w:fldChar w:fldCharType="end"/>
    </w:r>
  </w:p>
  <w:p w14:paraId="638453B6" w14:textId="77777777" w:rsidR="00D4767B" w:rsidRDefault="00D47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7EA14" w14:textId="77777777" w:rsidR="00BE6A86" w:rsidRDefault="00BE6A86">
      <w:pPr>
        <w:spacing w:line="240" w:lineRule="auto"/>
      </w:pPr>
      <w:r>
        <w:separator/>
      </w:r>
    </w:p>
  </w:footnote>
  <w:footnote w:type="continuationSeparator" w:id="0">
    <w:p w14:paraId="5D2ACEF0" w14:textId="77777777" w:rsidR="00BE6A86" w:rsidRDefault="00BE6A86">
      <w:pPr>
        <w:spacing w:line="240" w:lineRule="auto"/>
      </w:pPr>
      <w:r>
        <w:continuationSeparator/>
      </w:r>
    </w:p>
  </w:footnote>
  <w:footnote w:id="1">
    <w:p w14:paraId="14EA08D4" w14:textId="29CDC7B6" w:rsidR="00D4767B" w:rsidRPr="001261E1" w:rsidRDefault="00D4767B">
      <w:pPr>
        <w:pStyle w:val="FootnoteText"/>
        <w:rPr>
          <w:lang w:val="en-US"/>
        </w:rPr>
      </w:pPr>
      <w:r>
        <w:rPr>
          <w:rStyle w:val="FootnoteReference"/>
        </w:rPr>
        <w:footnoteRef/>
      </w:r>
      <w:r>
        <w:t xml:space="preserve"> </w:t>
      </w:r>
      <w:r w:rsidRPr="001261E1">
        <w:rPr>
          <w:rFonts w:ascii="Times New Roman" w:hAnsi="Times New Roman" w:cs="Times New Roman"/>
          <w:sz w:val="20"/>
          <w:szCs w:val="20"/>
          <w:lang w:val="en-US"/>
        </w:rPr>
        <w:t>Edited by Jacklyn DeMar</w:t>
      </w:r>
      <w:r w:rsidR="00D308A1">
        <w:rPr>
          <w:rFonts w:ascii="Times New Roman" w:hAnsi="Times New Roman" w:cs="Times New Roman"/>
          <w:sz w:val="20"/>
          <w:szCs w:val="20"/>
          <w:lang w:val="en-US"/>
        </w:rPr>
        <w:t>.</w:t>
      </w:r>
    </w:p>
  </w:footnote>
  <w:footnote w:id="2">
    <w:p w14:paraId="052C4120" w14:textId="53F9E20D"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https://www.justice.gov/opa/pr/justice-department-recovers-over-22-billion-false-claims-act-cases-fiscal-year-2020</w:t>
      </w:r>
    </w:p>
  </w:footnote>
  <w:footnote w:id="3">
    <w:p w14:paraId="1154E2C5" w14:textId="44C19C44"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“Health Care Fraud”</w:t>
      </w:r>
    </w:p>
  </w:footnote>
  <w:footnote w:id="4">
    <w:p w14:paraId="2F5F5655" w14:textId="4C3C8FB1"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“Procurement Fraud”</w:t>
      </w:r>
    </w:p>
  </w:footnote>
  <w:footnote w:id="5">
    <w:p w14:paraId="12830078" w14:textId="49858745"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“Recoveries in Whistleblower Suits”</w:t>
      </w:r>
    </w:p>
  </w:footnote>
  <w:footnote w:id="6">
    <w:p w14:paraId="05D78F7F" w14:textId="38E61C50"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https://www.natlawreview.com/article/first-reported-fca-cares-act-settlement-announced?link_id=6&amp;can_id=d0194dbcaba9cd8b48be0d76bc0fe6eb&amp;source=email-false-claims-act-recovers-22-billion-in-fy2020&amp;email_referrer=email_1051446&amp;email_subject=first-reported-fca-cares-act-settlement-announced</w:t>
      </w:r>
    </w:p>
  </w:footnote>
  <w:footnote w:id="7">
    <w:p w14:paraId="1645AA1C" w14:textId="0851AEEE"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https://www.justice.gov/usao-edca/pr/eastern-district-california-obtains-nation-s-first-civil-settlement-fraud-cares-act</w:t>
      </w:r>
    </w:p>
  </w:footnote>
  <w:footnote w:id="8">
    <w:p w14:paraId="4EFD68D2" w14:textId="72C0476B"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xml:space="preserve">. </w:t>
      </w:r>
    </w:p>
  </w:footnote>
  <w:footnote w:id="9">
    <w:p w14:paraId="464F9CF3" w14:textId="1B3E239B"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https://www.whitehouse.gov/briefing-room/legislation/2021/01/20/president-biden-announces-american-rescue-plan/</w:t>
      </w:r>
    </w:p>
  </w:footnote>
  <w:footnote w:id="10">
    <w:p w14:paraId="21B97394" w14:textId="56735EF7"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938 F.3d 1278 (11th Cir. Sep. 9, 2020)</w:t>
      </w:r>
      <w:r w:rsidR="00D308A1">
        <w:rPr>
          <w:rFonts w:ascii="Times New Roman" w:eastAsia="Times New Roman" w:hAnsi="Times New Roman" w:cs="Times New Roman"/>
          <w:color w:val="000000" w:themeColor="text1"/>
          <w:sz w:val="20"/>
          <w:szCs w:val="20"/>
        </w:rPr>
        <w:t>.</w:t>
      </w:r>
    </w:p>
  </w:footnote>
  <w:footnote w:id="11">
    <w:p w14:paraId="59B7D582" w14:textId="68703BC3"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1296-1297</w:t>
      </w:r>
      <w:r>
        <w:rPr>
          <w:rFonts w:ascii="Times New Roman" w:eastAsia="Times New Roman" w:hAnsi="Times New Roman" w:cs="Times New Roman"/>
          <w:color w:val="000000" w:themeColor="text1"/>
          <w:sz w:val="20"/>
          <w:szCs w:val="20"/>
        </w:rPr>
        <w:t>.</w:t>
      </w:r>
    </w:p>
  </w:footnote>
  <w:footnote w:id="12">
    <w:p w14:paraId="7C86BE14" w14:textId="230F1F5F"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952 F.3d 89 (3rd Cir. Sep. 10, 2020)</w:t>
      </w:r>
      <w:r w:rsidR="00D308A1">
        <w:rPr>
          <w:rFonts w:ascii="Times New Roman" w:eastAsia="Times New Roman" w:hAnsi="Times New Roman" w:cs="Times New Roman"/>
          <w:color w:val="000000" w:themeColor="text1"/>
          <w:sz w:val="20"/>
          <w:szCs w:val="20"/>
        </w:rPr>
        <w:t>.</w:t>
      </w:r>
    </w:p>
  </w:footnote>
  <w:footnote w:id="13">
    <w:p w14:paraId="58370E02" w14:textId="163339BC"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953 F.3d 1108 (9th Cir. Mar. 23, 2020)</w:t>
      </w:r>
      <w:r w:rsidR="00D308A1">
        <w:rPr>
          <w:rFonts w:ascii="Times New Roman" w:eastAsia="Times New Roman" w:hAnsi="Times New Roman" w:cs="Times New Roman"/>
          <w:color w:val="000000" w:themeColor="text1"/>
          <w:sz w:val="20"/>
          <w:szCs w:val="20"/>
        </w:rPr>
        <w:t>.</w:t>
      </w:r>
    </w:p>
  </w:footnote>
  <w:footnote w:id="14">
    <w:p w14:paraId="53214F99" w14:textId="1A222259"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xml:space="preserve"> at 91</w:t>
      </w:r>
      <w:r>
        <w:rPr>
          <w:rFonts w:ascii="Times New Roman" w:eastAsia="Times New Roman" w:hAnsi="Times New Roman" w:cs="Times New Roman"/>
          <w:color w:val="000000" w:themeColor="text1"/>
          <w:sz w:val="20"/>
          <w:szCs w:val="20"/>
        </w:rPr>
        <w:t>.</w:t>
      </w:r>
    </w:p>
  </w:footnote>
  <w:footnote w:id="15">
    <w:p w14:paraId="3FF77780" w14:textId="34B1A618"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95</w:t>
      </w:r>
      <w:r>
        <w:rPr>
          <w:rFonts w:ascii="Times New Roman" w:eastAsia="Times New Roman" w:hAnsi="Times New Roman" w:cs="Times New Roman"/>
          <w:color w:val="000000" w:themeColor="text1"/>
          <w:sz w:val="20"/>
          <w:szCs w:val="20"/>
        </w:rPr>
        <w:t>.</w:t>
      </w:r>
    </w:p>
  </w:footnote>
  <w:footnote w:id="16">
    <w:p w14:paraId="13B037F4" w14:textId="1E3DC308"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98</w:t>
      </w:r>
      <w:r>
        <w:rPr>
          <w:rFonts w:ascii="Times New Roman" w:eastAsia="Times New Roman" w:hAnsi="Times New Roman" w:cs="Times New Roman"/>
          <w:color w:val="000000" w:themeColor="text1"/>
          <w:sz w:val="20"/>
          <w:szCs w:val="20"/>
        </w:rPr>
        <w:t>.</w:t>
      </w:r>
    </w:p>
  </w:footnote>
  <w:footnote w:id="17">
    <w:p w14:paraId="6A5F45EF" w14:textId="426FDB5A"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100</w:t>
      </w:r>
      <w:r>
        <w:rPr>
          <w:rFonts w:ascii="Times New Roman" w:eastAsia="Times New Roman" w:hAnsi="Times New Roman" w:cs="Times New Roman"/>
          <w:color w:val="000000" w:themeColor="text1"/>
          <w:sz w:val="20"/>
          <w:szCs w:val="20"/>
        </w:rPr>
        <w:t>.</w:t>
      </w:r>
    </w:p>
  </w:footnote>
  <w:footnote w:id="18">
    <w:p w14:paraId="640AC7CD" w14:textId="583EF68B"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101</w:t>
      </w:r>
      <w:r>
        <w:rPr>
          <w:rFonts w:ascii="Times New Roman" w:eastAsia="Times New Roman" w:hAnsi="Times New Roman" w:cs="Times New Roman"/>
          <w:color w:val="000000" w:themeColor="text1"/>
          <w:sz w:val="20"/>
          <w:szCs w:val="20"/>
        </w:rPr>
        <w:t>.</w:t>
      </w:r>
    </w:p>
  </w:footnote>
  <w:footnote w:id="19">
    <w:p w14:paraId="0C9FE57B" w14:textId="463A99F1"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953 F.3d 1108 (9th Cir. Mar. 23, 2020)</w:t>
      </w:r>
      <w:r w:rsidR="00D308A1">
        <w:rPr>
          <w:rFonts w:ascii="Times New Roman" w:eastAsia="Times New Roman" w:hAnsi="Times New Roman" w:cs="Times New Roman"/>
          <w:color w:val="000000" w:themeColor="text1"/>
          <w:sz w:val="20"/>
          <w:szCs w:val="20"/>
        </w:rPr>
        <w:t>.</w:t>
      </w:r>
    </w:p>
  </w:footnote>
  <w:footnote w:id="20">
    <w:p w14:paraId="6D3369A3" w14:textId="02850D17"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xml:space="preserve"> at 1111</w:t>
      </w:r>
      <w:r>
        <w:rPr>
          <w:rFonts w:ascii="Times New Roman" w:eastAsia="Times New Roman" w:hAnsi="Times New Roman" w:cs="Times New Roman"/>
          <w:color w:val="000000" w:themeColor="text1"/>
          <w:sz w:val="20"/>
          <w:szCs w:val="20"/>
        </w:rPr>
        <w:t>.</w:t>
      </w:r>
    </w:p>
  </w:footnote>
  <w:footnote w:id="21">
    <w:p w14:paraId="686876C4" w14:textId="4553CF9F"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1113</w:t>
      </w:r>
      <w:r>
        <w:rPr>
          <w:rFonts w:ascii="Times New Roman" w:eastAsia="Times New Roman" w:hAnsi="Times New Roman" w:cs="Times New Roman"/>
          <w:color w:val="000000" w:themeColor="text1"/>
          <w:sz w:val="20"/>
          <w:szCs w:val="20"/>
        </w:rPr>
        <w:t>.</w:t>
      </w:r>
    </w:p>
  </w:footnote>
  <w:footnote w:id="22">
    <w:p w14:paraId="0AA1346B" w14:textId="3B50DD4F"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1119</w:t>
      </w:r>
      <w:r>
        <w:rPr>
          <w:rFonts w:ascii="Times New Roman" w:eastAsia="Times New Roman" w:hAnsi="Times New Roman" w:cs="Times New Roman"/>
          <w:color w:val="000000" w:themeColor="text1"/>
          <w:sz w:val="20"/>
          <w:szCs w:val="20"/>
        </w:rPr>
        <w:t>.</w:t>
      </w:r>
    </w:p>
  </w:footnote>
  <w:footnote w:id="23">
    <w:p w14:paraId="6D7E6226" w14:textId="513098AD"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963 F.3d 733 (8th Cir. June 25, 2020)</w:t>
      </w:r>
      <w:r w:rsidR="00D308A1">
        <w:rPr>
          <w:rFonts w:ascii="Times New Roman" w:eastAsia="Times New Roman" w:hAnsi="Times New Roman" w:cs="Times New Roman"/>
          <w:color w:val="000000" w:themeColor="text1"/>
          <w:sz w:val="20"/>
          <w:szCs w:val="20"/>
        </w:rPr>
        <w:t>.</w:t>
      </w:r>
    </w:p>
  </w:footnote>
  <w:footnote w:id="24">
    <w:p w14:paraId="24884125" w14:textId="505E14CA"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957 F.3d 743 (7th Cir. April 29, 2020)</w:t>
      </w:r>
      <w:r w:rsidR="00D308A1">
        <w:rPr>
          <w:rFonts w:ascii="Times New Roman" w:eastAsia="Times New Roman" w:hAnsi="Times New Roman" w:cs="Times New Roman"/>
          <w:color w:val="000000" w:themeColor="text1"/>
          <w:sz w:val="20"/>
          <w:szCs w:val="20"/>
        </w:rPr>
        <w:t>.</w:t>
      </w:r>
    </w:p>
  </w:footnote>
  <w:footnote w:id="25">
    <w:p w14:paraId="1A37ED4E" w14:textId="44507175"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981 F.3d 920 (11th Cir. Nov. 24, 2020)</w:t>
      </w:r>
      <w:r w:rsidR="00D308A1">
        <w:rPr>
          <w:rFonts w:ascii="Times New Roman" w:eastAsia="Times New Roman" w:hAnsi="Times New Roman" w:cs="Times New Roman"/>
          <w:color w:val="000000" w:themeColor="text1"/>
          <w:sz w:val="20"/>
          <w:szCs w:val="20"/>
        </w:rPr>
        <w:t>.</w:t>
      </w:r>
    </w:p>
  </w:footnote>
  <w:footnote w:id="26">
    <w:p w14:paraId="6ACD24D1" w14:textId="40494CC4" w:rsidR="00D4767B" w:rsidRPr="00C72557" w:rsidRDefault="00D4767B" w:rsidP="006362C1">
      <w:pPr>
        <w:widowControl w:val="0"/>
        <w:autoSpaceDE w:val="0"/>
        <w:autoSpaceDN w:val="0"/>
        <w:adjustRightInd w:val="0"/>
        <w:spacing w:after="240" w:line="320" w:lineRule="atLeas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a</w:t>
      </w:r>
      <w:r w:rsidRPr="00C72557">
        <w:rPr>
          <w:rFonts w:ascii="Times New Roman" w:hAnsi="Times New Roman" w:cs="Times New Roman"/>
          <w:color w:val="000000" w:themeColor="text1"/>
          <w:sz w:val="20"/>
          <w:szCs w:val="20"/>
          <w:lang w:val="en-US"/>
        </w:rPr>
        <w:t>t 740</w:t>
      </w:r>
      <w:r>
        <w:rPr>
          <w:rFonts w:ascii="Times New Roman" w:hAnsi="Times New Roman" w:cs="Times New Roman"/>
          <w:color w:val="000000" w:themeColor="text1"/>
          <w:sz w:val="20"/>
          <w:szCs w:val="20"/>
          <w:lang w:val="en-US"/>
        </w:rPr>
        <w:t>.</w:t>
      </w:r>
    </w:p>
  </w:footnote>
  <w:footnote w:id="27">
    <w:p w14:paraId="7E107407" w14:textId="5D1D7ACE"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957 F.3d 743 (7th Cir. April 29, 2020)</w:t>
      </w:r>
      <w:r w:rsidR="00D308A1">
        <w:rPr>
          <w:rFonts w:ascii="Times New Roman" w:eastAsia="Times New Roman" w:hAnsi="Times New Roman" w:cs="Times New Roman"/>
          <w:color w:val="000000" w:themeColor="text1"/>
          <w:sz w:val="20"/>
          <w:szCs w:val="20"/>
        </w:rPr>
        <w:t>.</w:t>
      </w:r>
    </w:p>
  </w:footnote>
  <w:footnote w:id="28">
    <w:p w14:paraId="58402DBF" w14:textId="2B3481AF"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748</w:t>
      </w:r>
      <w:r>
        <w:rPr>
          <w:rFonts w:ascii="Times New Roman" w:eastAsia="Times New Roman" w:hAnsi="Times New Roman" w:cs="Times New Roman"/>
          <w:color w:val="000000" w:themeColor="text1"/>
          <w:sz w:val="20"/>
          <w:szCs w:val="20"/>
        </w:rPr>
        <w:t>.</w:t>
      </w:r>
    </w:p>
  </w:footnote>
  <w:footnote w:id="29">
    <w:p w14:paraId="3127E64F" w14:textId="185FDA89"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747</w:t>
      </w:r>
      <w:r>
        <w:rPr>
          <w:rFonts w:ascii="Times New Roman" w:eastAsia="Times New Roman" w:hAnsi="Times New Roman" w:cs="Times New Roman"/>
          <w:color w:val="000000" w:themeColor="text1"/>
          <w:sz w:val="20"/>
          <w:szCs w:val="20"/>
        </w:rPr>
        <w:t>.</w:t>
      </w:r>
    </w:p>
  </w:footnote>
  <w:footnote w:id="30">
    <w:p w14:paraId="62BB2A15" w14:textId="304F89F2"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748</w:t>
      </w:r>
      <w:r>
        <w:rPr>
          <w:rFonts w:ascii="Times New Roman" w:eastAsia="Times New Roman" w:hAnsi="Times New Roman" w:cs="Times New Roman"/>
          <w:color w:val="000000" w:themeColor="text1"/>
          <w:sz w:val="20"/>
          <w:szCs w:val="20"/>
        </w:rPr>
        <w:t>.</w:t>
      </w:r>
    </w:p>
  </w:footnote>
  <w:footnote w:id="31">
    <w:p w14:paraId="414A491C" w14:textId="1C0ABCA0"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751</w:t>
      </w:r>
      <w:r>
        <w:rPr>
          <w:rFonts w:ascii="Times New Roman" w:eastAsia="Times New Roman" w:hAnsi="Times New Roman" w:cs="Times New Roman"/>
          <w:color w:val="000000" w:themeColor="text1"/>
          <w:sz w:val="20"/>
          <w:szCs w:val="20"/>
        </w:rPr>
        <w:t>.</w:t>
      </w:r>
    </w:p>
  </w:footnote>
  <w:footnote w:id="32">
    <w:p w14:paraId="59E39D13" w14:textId="4EFD20DA"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981 F.3d 920 (11th Cir. Nov. 24, 2020)</w:t>
      </w:r>
      <w:r w:rsidR="00D308A1">
        <w:rPr>
          <w:rFonts w:ascii="Times New Roman" w:eastAsia="Times New Roman" w:hAnsi="Times New Roman" w:cs="Times New Roman"/>
          <w:color w:val="000000" w:themeColor="text1"/>
          <w:sz w:val="20"/>
          <w:szCs w:val="20"/>
        </w:rPr>
        <w:t>.</w:t>
      </w:r>
    </w:p>
  </w:footnote>
  <w:footnote w:id="33">
    <w:p w14:paraId="0C0DBCF2" w14:textId="20324277"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924</w:t>
      </w:r>
      <w:r>
        <w:rPr>
          <w:rFonts w:ascii="Times New Roman" w:eastAsia="Times New Roman" w:hAnsi="Times New Roman" w:cs="Times New Roman"/>
          <w:color w:val="000000" w:themeColor="text1"/>
          <w:sz w:val="20"/>
          <w:szCs w:val="20"/>
        </w:rPr>
        <w:t>.</w:t>
      </w:r>
    </w:p>
  </w:footnote>
  <w:footnote w:id="34">
    <w:p w14:paraId="061637A1" w14:textId="061E5E8F"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922</w:t>
      </w:r>
      <w:r>
        <w:rPr>
          <w:rFonts w:ascii="Times New Roman" w:eastAsia="Times New Roman" w:hAnsi="Times New Roman" w:cs="Times New Roman"/>
          <w:color w:val="000000" w:themeColor="text1"/>
          <w:sz w:val="20"/>
          <w:szCs w:val="20"/>
        </w:rPr>
        <w:t>.</w:t>
      </w:r>
    </w:p>
  </w:footnote>
  <w:footnote w:id="35">
    <w:p w14:paraId="41AA10A5" w14:textId="184EF8B3" w:rsidR="00D4767B" w:rsidRPr="00C72557" w:rsidRDefault="00D4767B" w:rsidP="00AF007E">
      <w:pPr>
        <w:rPr>
          <w:rFonts w:ascii="Times New Roman" w:eastAsia="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8F1E23">
        <w:rPr>
          <w:rFonts w:ascii="Times New Roman" w:hAnsi="Times New Roman" w:cs="Times New Roman"/>
          <w:sz w:val="20"/>
          <w:szCs w:val="20"/>
        </w:rPr>
        <w:t>https://www.justice.gov/opa/pr/novartis-pays-over-642-million-settle-allegations-improper-payments-patients-and-physicians</w:t>
      </w:r>
    </w:p>
    <w:p w14:paraId="02457044" w14:textId="632D7C3D" w:rsidR="00D4767B" w:rsidRPr="00C72557" w:rsidRDefault="00D4767B">
      <w:pPr>
        <w:pStyle w:val="FootnoteText"/>
        <w:rPr>
          <w:rFonts w:ascii="Times New Roman" w:hAnsi="Times New Roman" w:cs="Times New Roman"/>
          <w:color w:val="000000" w:themeColor="text1"/>
          <w:sz w:val="20"/>
          <w:szCs w:val="20"/>
          <w:lang w:val="en-US"/>
        </w:rPr>
      </w:pPr>
    </w:p>
  </w:footnote>
  <w:footnote w:id="36">
    <w:p w14:paraId="6A145A09" w14:textId="446C7D8E"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xml:space="preserve">. </w:t>
      </w:r>
    </w:p>
  </w:footnote>
  <w:footnote w:id="37">
    <w:p w14:paraId="30F73EF8" w14:textId="5FE23A3D" w:rsidR="00D4767B" w:rsidRPr="00C72557" w:rsidRDefault="00D4767B" w:rsidP="005D21A0">
      <w:pPr>
        <w:widowControl w:val="0"/>
        <w:autoSpaceDE w:val="0"/>
        <w:autoSpaceDN w:val="0"/>
        <w:adjustRightInd w:val="0"/>
        <w:spacing w:line="240" w:lineRule="auto"/>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C72557">
        <w:rPr>
          <w:rFonts w:ascii="Times New Roman" w:hAnsi="Times New Roman" w:cs="Times New Roman"/>
          <w:color w:val="000000" w:themeColor="text1"/>
          <w:sz w:val="20"/>
          <w:szCs w:val="20"/>
          <w:lang w:val="en-US"/>
        </w:rPr>
        <w:t>136 S.Ct. 1989</w:t>
      </w:r>
      <w:r w:rsidRPr="00C72557">
        <w:rPr>
          <w:rFonts w:ascii="Times New Roman" w:eastAsia="MS Mincho" w:hAnsi="Times New Roman" w:cs="Times New Roman"/>
          <w:color w:val="000000" w:themeColor="text1"/>
          <w:sz w:val="20"/>
          <w:szCs w:val="20"/>
          <w:lang w:val="en-US"/>
        </w:rPr>
        <w:t xml:space="preserve"> (2016)</w:t>
      </w:r>
      <w:r w:rsidR="00D308A1">
        <w:rPr>
          <w:rFonts w:ascii="Times New Roman" w:eastAsia="MS Mincho" w:hAnsi="Times New Roman" w:cs="Times New Roman"/>
          <w:color w:val="000000" w:themeColor="text1"/>
          <w:sz w:val="20"/>
          <w:szCs w:val="20"/>
          <w:lang w:val="en-US"/>
        </w:rPr>
        <w:t>.</w:t>
      </w:r>
    </w:p>
  </w:footnote>
  <w:footnote w:id="38">
    <w:p w14:paraId="7EBE12A7" w14:textId="20982BCB" w:rsidR="00D4767B" w:rsidRPr="00C72557" w:rsidRDefault="00D4767B" w:rsidP="005D21A0">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1993</w:t>
      </w:r>
      <w:r w:rsidR="008F1E23">
        <w:rPr>
          <w:rFonts w:ascii="Times New Roman" w:eastAsia="Times New Roman" w:hAnsi="Times New Roman" w:cs="Times New Roman"/>
          <w:color w:val="000000" w:themeColor="text1"/>
          <w:sz w:val="20"/>
          <w:szCs w:val="20"/>
        </w:rPr>
        <w:t>.</w:t>
      </w:r>
    </w:p>
  </w:footnote>
  <w:footnote w:id="39">
    <w:p w14:paraId="5CDE8135" w14:textId="64A96158"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2003</w:t>
      </w:r>
      <w:r w:rsidR="008F1E23">
        <w:rPr>
          <w:rFonts w:ascii="Times New Roman" w:eastAsia="Times New Roman" w:hAnsi="Times New Roman" w:cs="Times New Roman"/>
          <w:color w:val="000000" w:themeColor="text1"/>
          <w:sz w:val="20"/>
          <w:szCs w:val="20"/>
        </w:rPr>
        <w:t>.</w:t>
      </w:r>
    </w:p>
  </w:footnote>
  <w:footnote w:id="40">
    <w:p w14:paraId="5F0FC7DC" w14:textId="51084BC1"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1995</w:t>
      </w:r>
      <w:r w:rsidR="008F1E23">
        <w:rPr>
          <w:rFonts w:ascii="Times New Roman" w:eastAsia="Times New Roman" w:hAnsi="Times New Roman" w:cs="Times New Roman"/>
          <w:color w:val="000000" w:themeColor="text1"/>
          <w:sz w:val="20"/>
          <w:szCs w:val="20"/>
        </w:rPr>
        <w:t>.</w:t>
      </w:r>
    </w:p>
  </w:footnote>
  <w:footnote w:id="41">
    <w:p w14:paraId="7B733B8E" w14:textId="62F30F8E"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963 F.3d </w:t>
      </w:r>
      <w:r w:rsidR="00D308A1" w:rsidRPr="00C72557">
        <w:rPr>
          <w:rFonts w:ascii="Times New Roman" w:eastAsia="Times New Roman" w:hAnsi="Times New Roman" w:cs="Times New Roman"/>
          <w:color w:val="000000" w:themeColor="text1"/>
          <w:sz w:val="20"/>
          <w:szCs w:val="20"/>
        </w:rPr>
        <w:t>1089 (</w:t>
      </w:r>
      <w:r w:rsidRPr="00C72557">
        <w:rPr>
          <w:rFonts w:ascii="Times New Roman" w:eastAsia="Times New Roman" w:hAnsi="Times New Roman" w:cs="Times New Roman"/>
          <w:color w:val="000000" w:themeColor="text1"/>
          <w:sz w:val="20"/>
          <w:szCs w:val="20"/>
        </w:rPr>
        <w:t>11th Cir. June 25, 2020)</w:t>
      </w:r>
      <w:r w:rsidR="00D308A1">
        <w:rPr>
          <w:rFonts w:ascii="Times New Roman" w:eastAsia="Times New Roman" w:hAnsi="Times New Roman" w:cs="Times New Roman"/>
          <w:color w:val="000000" w:themeColor="text1"/>
          <w:sz w:val="20"/>
          <w:szCs w:val="20"/>
        </w:rPr>
        <w:t>.</w:t>
      </w:r>
    </w:p>
  </w:footnote>
  <w:footnote w:id="42">
    <w:p w14:paraId="0EC0A15D" w14:textId="4A4954FF"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2021 WL 137739 (11th Cir. Jan. 15, 2020)</w:t>
      </w:r>
      <w:r w:rsidR="00D308A1">
        <w:rPr>
          <w:rFonts w:ascii="Times New Roman" w:eastAsia="Times New Roman" w:hAnsi="Times New Roman" w:cs="Times New Roman"/>
          <w:color w:val="000000" w:themeColor="text1"/>
          <w:sz w:val="20"/>
          <w:szCs w:val="20"/>
        </w:rPr>
        <w:t>.</w:t>
      </w:r>
    </w:p>
  </w:footnote>
  <w:footnote w:id="43">
    <w:p w14:paraId="0EFB1A1F" w14:textId="21A8A03A"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color w:val="000000" w:themeColor="text1"/>
          <w:sz w:val="20"/>
          <w:szCs w:val="20"/>
        </w:rPr>
        <w:t>963 F.3d</w:t>
      </w:r>
      <w:r w:rsidRPr="00C72557">
        <w:rPr>
          <w:rFonts w:ascii="Times New Roman" w:eastAsia="Times New Roman" w:hAnsi="Times New Roman" w:cs="Times New Roman"/>
          <w:i/>
          <w:color w:val="000000" w:themeColor="text1"/>
          <w:sz w:val="20"/>
          <w:szCs w:val="20"/>
        </w:rPr>
        <w:t xml:space="preserve"> </w:t>
      </w:r>
      <w:r w:rsidRPr="00C72557">
        <w:rPr>
          <w:rFonts w:ascii="Times New Roman" w:eastAsia="Times New Roman" w:hAnsi="Times New Roman" w:cs="Times New Roman"/>
          <w:color w:val="000000" w:themeColor="text1"/>
          <w:sz w:val="20"/>
          <w:szCs w:val="20"/>
        </w:rPr>
        <w:t>at 1105</w:t>
      </w:r>
      <w:r w:rsidR="00D308A1">
        <w:rPr>
          <w:rFonts w:ascii="Times New Roman" w:eastAsia="Times New Roman" w:hAnsi="Times New Roman" w:cs="Times New Roman"/>
          <w:color w:val="000000" w:themeColor="text1"/>
          <w:sz w:val="20"/>
          <w:szCs w:val="20"/>
        </w:rPr>
        <w:t>.</w:t>
      </w:r>
    </w:p>
  </w:footnote>
  <w:footnote w:id="44">
    <w:p w14:paraId="5225C69E" w14:textId="5D17A6F0"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1106</w:t>
      </w:r>
      <w:r w:rsidR="008F1E23">
        <w:rPr>
          <w:rFonts w:ascii="Times New Roman" w:eastAsia="Times New Roman" w:hAnsi="Times New Roman" w:cs="Times New Roman"/>
          <w:color w:val="000000" w:themeColor="text1"/>
          <w:sz w:val="20"/>
          <w:szCs w:val="20"/>
        </w:rPr>
        <w:t>.</w:t>
      </w:r>
    </w:p>
  </w:footnote>
  <w:footnote w:id="45">
    <w:p w14:paraId="7F108447" w14:textId="5014C677"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1109</w:t>
      </w:r>
      <w:r w:rsidR="008F1E23">
        <w:rPr>
          <w:rFonts w:ascii="Times New Roman" w:eastAsia="Times New Roman" w:hAnsi="Times New Roman" w:cs="Times New Roman"/>
          <w:color w:val="000000" w:themeColor="text1"/>
          <w:sz w:val="20"/>
          <w:szCs w:val="20"/>
        </w:rPr>
        <w:t>.</w:t>
      </w:r>
    </w:p>
  </w:footnote>
  <w:footnote w:id="46">
    <w:p w14:paraId="37AF9E24" w14:textId="480EACA8"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1109</w:t>
      </w:r>
      <w:r w:rsidR="008F1E23">
        <w:rPr>
          <w:rFonts w:ascii="Times New Roman" w:eastAsia="Times New Roman" w:hAnsi="Times New Roman" w:cs="Times New Roman"/>
          <w:color w:val="000000" w:themeColor="text1"/>
          <w:sz w:val="20"/>
          <w:szCs w:val="20"/>
        </w:rPr>
        <w:t>.</w:t>
      </w:r>
    </w:p>
  </w:footnote>
  <w:footnote w:id="47">
    <w:p w14:paraId="533F8619" w14:textId="40A32194"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2021 WL 137739 (11th Cir. Jan. 15, 2020)</w:t>
      </w:r>
      <w:r w:rsidR="00D308A1">
        <w:rPr>
          <w:rFonts w:ascii="Times New Roman" w:eastAsia="Times New Roman" w:hAnsi="Times New Roman" w:cs="Times New Roman"/>
          <w:color w:val="000000" w:themeColor="text1"/>
          <w:sz w:val="20"/>
          <w:szCs w:val="20"/>
        </w:rPr>
        <w:t>.</w:t>
      </w:r>
    </w:p>
  </w:footnote>
  <w:footnote w:id="48">
    <w:p w14:paraId="47084B57" w14:textId="1366A505"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1</w:t>
      </w:r>
      <w:r w:rsidR="008F1E23">
        <w:rPr>
          <w:rFonts w:ascii="Times New Roman" w:eastAsia="Times New Roman" w:hAnsi="Times New Roman" w:cs="Times New Roman"/>
          <w:color w:val="000000" w:themeColor="text1"/>
          <w:sz w:val="20"/>
          <w:szCs w:val="20"/>
        </w:rPr>
        <w:t>.</w:t>
      </w:r>
    </w:p>
  </w:footnote>
  <w:footnote w:id="49">
    <w:p w14:paraId="243F35C7" w14:textId="63D55D19" w:rsidR="00D4767B" w:rsidRPr="006A3B00" w:rsidRDefault="00D4767B" w:rsidP="00B01382">
      <w:pPr>
        <w:spacing w:line="240" w:lineRule="auto"/>
        <w:rPr>
          <w:rFonts w:ascii="Times New Roman" w:eastAsia="Times New Roman" w:hAnsi="Times New Roman" w:cs="Times New Roman"/>
          <w:color w:val="000000" w:themeColor="text1"/>
          <w:sz w:val="20"/>
          <w:szCs w:val="20"/>
        </w:rPr>
      </w:pPr>
      <w:r w:rsidRPr="006A3B00">
        <w:rPr>
          <w:rFonts w:ascii="Times New Roman" w:hAnsi="Times New Roman" w:cs="Times New Roman"/>
          <w:color w:val="000000" w:themeColor="text1"/>
          <w:sz w:val="20"/>
          <w:szCs w:val="20"/>
          <w:vertAlign w:val="superscript"/>
        </w:rPr>
        <w:footnoteRef/>
      </w:r>
      <w:r w:rsidRPr="006A3B00">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6A3B00">
        <w:rPr>
          <w:rFonts w:ascii="Times New Roman" w:eastAsia="Times New Roman" w:hAnsi="Times New Roman" w:cs="Times New Roman"/>
          <w:color w:val="000000" w:themeColor="text1"/>
          <w:sz w:val="20"/>
          <w:szCs w:val="20"/>
        </w:rPr>
        <w:t>. at 3</w:t>
      </w:r>
      <w:r w:rsidR="008F1E23">
        <w:rPr>
          <w:rFonts w:ascii="Times New Roman" w:eastAsia="Times New Roman" w:hAnsi="Times New Roman" w:cs="Times New Roman"/>
          <w:color w:val="000000" w:themeColor="text1"/>
          <w:sz w:val="20"/>
          <w:szCs w:val="20"/>
        </w:rPr>
        <w:t>.</w:t>
      </w:r>
    </w:p>
  </w:footnote>
  <w:footnote w:id="50">
    <w:p w14:paraId="27FEDFB9" w14:textId="0B616F56" w:rsidR="00D4767B" w:rsidRPr="006A3B00" w:rsidRDefault="00D4767B" w:rsidP="00B01382">
      <w:pPr>
        <w:spacing w:line="240" w:lineRule="auto"/>
        <w:rPr>
          <w:rFonts w:ascii="Times New Roman" w:eastAsia="Times New Roman" w:hAnsi="Times New Roman" w:cs="Times New Roman"/>
          <w:color w:val="000000" w:themeColor="text1"/>
          <w:sz w:val="20"/>
          <w:szCs w:val="20"/>
        </w:rPr>
      </w:pPr>
      <w:r w:rsidRPr="006A3B00">
        <w:rPr>
          <w:rFonts w:ascii="Times New Roman" w:hAnsi="Times New Roman" w:cs="Times New Roman"/>
          <w:color w:val="000000" w:themeColor="text1"/>
          <w:sz w:val="20"/>
          <w:szCs w:val="20"/>
          <w:vertAlign w:val="superscript"/>
        </w:rPr>
        <w:footnoteRef/>
      </w:r>
      <w:r w:rsidRPr="006A3B00">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6A3B00">
        <w:rPr>
          <w:rFonts w:ascii="Times New Roman" w:eastAsia="Times New Roman" w:hAnsi="Times New Roman" w:cs="Times New Roman"/>
          <w:color w:val="000000" w:themeColor="text1"/>
          <w:sz w:val="20"/>
          <w:szCs w:val="20"/>
        </w:rPr>
        <w:t>. at 9</w:t>
      </w:r>
      <w:r w:rsidR="008F1E23">
        <w:rPr>
          <w:rFonts w:ascii="Times New Roman" w:eastAsia="Times New Roman" w:hAnsi="Times New Roman" w:cs="Times New Roman"/>
          <w:color w:val="000000" w:themeColor="text1"/>
          <w:sz w:val="20"/>
          <w:szCs w:val="20"/>
        </w:rPr>
        <w:t>.</w:t>
      </w:r>
    </w:p>
  </w:footnote>
  <w:footnote w:id="51">
    <w:p w14:paraId="0D20C1F5" w14:textId="4D4BFB2A" w:rsidR="00D4767B" w:rsidRPr="006A3B00" w:rsidRDefault="00D4767B" w:rsidP="00FB0688">
      <w:pPr>
        <w:rPr>
          <w:rFonts w:ascii="Times New Roman" w:eastAsia="Times New Roman" w:hAnsi="Times New Roman" w:cs="Times New Roman"/>
          <w:color w:val="000000" w:themeColor="text1"/>
          <w:sz w:val="20"/>
          <w:szCs w:val="20"/>
          <w:lang w:val="en-US"/>
        </w:rPr>
      </w:pPr>
      <w:r w:rsidRPr="006A3B00">
        <w:rPr>
          <w:rStyle w:val="FootnoteReference"/>
          <w:rFonts w:ascii="Times New Roman" w:hAnsi="Times New Roman" w:cs="Times New Roman"/>
          <w:color w:val="000000" w:themeColor="text1"/>
          <w:sz w:val="20"/>
          <w:szCs w:val="20"/>
        </w:rPr>
        <w:footnoteRef/>
      </w:r>
      <w:r w:rsidRPr="006A3B00">
        <w:rPr>
          <w:rFonts w:ascii="Times New Roman" w:hAnsi="Times New Roman" w:cs="Times New Roman"/>
          <w:color w:val="000000" w:themeColor="text1"/>
          <w:sz w:val="20"/>
          <w:szCs w:val="20"/>
        </w:rPr>
        <w:t xml:space="preserve"> </w:t>
      </w:r>
      <w:r w:rsidRPr="006A3B00">
        <w:rPr>
          <w:rFonts w:ascii="Times New Roman" w:eastAsia="Times New Roman" w:hAnsi="Times New Roman" w:cs="Times New Roman"/>
          <w:color w:val="000000" w:themeColor="text1"/>
          <w:sz w:val="20"/>
          <w:szCs w:val="20"/>
          <w:lang w:val="en-US"/>
        </w:rPr>
        <w:t>982 F.3d 51(</w:t>
      </w:r>
      <w:r>
        <w:rPr>
          <w:rFonts w:ascii="Times New Roman" w:eastAsia="Times New Roman" w:hAnsi="Times New Roman" w:cs="Times New Roman"/>
          <w:color w:val="000000" w:themeColor="text1"/>
          <w:sz w:val="20"/>
          <w:szCs w:val="20"/>
          <w:lang w:val="en-US"/>
        </w:rPr>
        <w:t xml:space="preserve">2nd </w:t>
      </w:r>
      <w:r w:rsidRPr="006A3B00">
        <w:rPr>
          <w:rFonts w:ascii="Times New Roman" w:eastAsia="Times New Roman" w:hAnsi="Times New Roman" w:cs="Times New Roman"/>
          <w:color w:val="000000" w:themeColor="text1"/>
          <w:sz w:val="20"/>
          <w:szCs w:val="20"/>
          <w:lang w:val="en-US"/>
        </w:rPr>
        <w:t>Cir. Dec. 3, 2020)</w:t>
      </w:r>
      <w:r w:rsidR="00D308A1">
        <w:rPr>
          <w:rFonts w:ascii="Times New Roman" w:eastAsia="Times New Roman" w:hAnsi="Times New Roman" w:cs="Times New Roman"/>
          <w:color w:val="000000" w:themeColor="text1"/>
          <w:sz w:val="20"/>
          <w:szCs w:val="20"/>
          <w:lang w:val="en-US"/>
        </w:rPr>
        <w:t>.</w:t>
      </w:r>
    </w:p>
  </w:footnote>
  <w:footnote w:id="52">
    <w:p w14:paraId="5CE9B2AC" w14:textId="37749981" w:rsidR="00D4767B" w:rsidRPr="006A3B00" w:rsidRDefault="00D4767B">
      <w:pPr>
        <w:pStyle w:val="FootnoteText"/>
        <w:rPr>
          <w:rFonts w:ascii="Times New Roman" w:hAnsi="Times New Roman" w:cs="Times New Roman"/>
          <w:color w:val="000000" w:themeColor="text1"/>
          <w:sz w:val="20"/>
          <w:szCs w:val="20"/>
          <w:lang w:val="en-US"/>
        </w:rPr>
      </w:pPr>
      <w:r w:rsidRPr="006A3B00">
        <w:rPr>
          <w:rStyle w:val="FootnoteReference"/>
          <w:rFonts w:ascii="Times New Roman" w:hAnsi="Times New Roman" w:cs="Times New Roman"/>
          <w:color w:val="000000" w:themeColor="text1"/>
          <w:sz w:val="20"/>
          <w:szCs w:val="20"/>
        </w:rPr>
        <w:footnoteRef/>
      </w:r>
      <w:r w:rsidRPr="006A3B00">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6A3B00">
        <w:rPr>
          <w:rFonts w:ascii="Times New Roman" w:hAnsi="Times New Roman" w:cs="Times New Roman"/>
          <w:color w:val="000000" w:themeColor="text1"/>
          <w:sz w:val="20"/>
          <w:szCs w:val="20"/>
          <w:lang w:val="en-US"/>
        </w:rPr>
        <w:t>. at 56</w:t>
      </w:r>
      <w:r w:rsidR="008F1E23">
        <w:rPr>
          <w:rFonts w:ascii="Times New Roman" w:hAnsi="Times New Roman" w:cs="Times New Roman"/>
          <w:color w:val="000000" w:themeColor="text1"/>
          <w:sz w:val="20"/>
          <w:szCs w:val="20"/>
          <w:lang w:val="en-US"/>
        </w:rPr>
        <w:t>.</w:t>
      </w:r>
    </w:p>
  </w:footnote>
  <w:footnote w:id="53">
    <w:p w14:paraId="05C55A79" w14:textId="0F31CB80" w:rsidR="00D4767B" w:rsidRPr="006A3B00" w:rsidRDefault="00D4767B">
      <w:pPr>
        <w:pStyle w:val="FootnoteText"/>
        <w:rPr>
          <w:rFonts w:ascii="Times New Roman" w:hAnsi="Times New Roman" w:cs="Times New Roman"/>
          <w:color w:val="000000" w:themeColor="text1"/>
          <w:sz w:val="20"/>
          <w:szCs w:val="20"/>
          <w:lang w:val="en-US"/>
        </w:rPr>
      </w:pPr>
      <w:r w:rsidRPr="006A3B00">
        <w:rPr>
          <w:rStyle w:val="FootnoteReference"/>
          <w:rFonts w:ascii="Times New Roman" w:hAnsi="Times New Roman" w:cs="Times New Roman"/>
          <w:color w:val="000000" w:themeColor="text1"/>
          <w:sz w:val="20"/>
          <w:szCs w:val="20"/>
        </w:rPr>
        <w:footnoteRef/>
      </w:r>
      <w:r w:rsidRPr="006A3B00">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6A3B00">
        <w:rPr>
          <w:rFonts w:ascii="Times New Roman" w:hAnsi="Times New Roman" w:cs="Times New Roman"/>
          <w:color w:val="000000" w:themeColor="text1"/>
          <w:sz w:val="20"/>
          <w:szCs w:val="20"/>
          <w:lang w:val="en-US"/>
        </w:rPr>
        <w:t>. at 56-57</w:t>
      </w:r>
      <w:r w:rsidR="008F1E23">
        <w:rPr>
          <w:rFonts w:ascii="Times New Roman" w:hAnsi="Times New Roman" w:cs="Times New Roman"/>
          <w:color w:val="000000" w:themeColor="text1"/>
          <w:sz w:val="20"/>
          <w:szCs w:val="20"/>
          <w:lang w:val="en-US"/>
        </w:rPr>
        <w:t>.</w:t>
      </w:r>
    </w:p>
  </w:footnote>
  <w:footnote w:id="54">
    <w:p w14:paraId="63194525" w14:textId="0458949E" w:rsidR="00D4767B" w:rsidRPr="009E58C5" w:rsidRDefault="00D4767B">
      <w:pPr>
        <w:pStyle w:val="FootnoteText"/>
        <w:rPr>
          <w:rFonts w:ascii="Times New Roman" w:hAnsi="Times New Roman" w:cs="Times New Roman"/>
          <w:color w:val="000000" w:themeColor="text1"/>
          <w:sz w:val="20"/>
          <w:szCs w:val="20"/>
          <w:lang w:val="en-US"/>
        </w:rPr>
      </w:pPr>
      <w:r w:rsidRPr="009E58C5">
        <w:rPr>
          <w:rStyle w:val="FootnoteReference"/>
          <w:rFonts w:ascii="Times New Roman" w:hAnsi="Times New Roman" w:cs="Times New Roman"/>
          <w:color w:val="000000" w:themeColor="text1"/>
          <w:sz w:val="20"/>
          <w:szCs w:val="20"/>
        </w:rPr>
        <w:footnoteRef/>
      </w:r>
      <w:r w:rsidRPr="009E58C5">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9E58C5">
        <w:rPr>
          <w:rFonts w:ascii="Times New Roman" w:hAnsi="Times New Roman" w:cs="Times New Roman"/>
          <w:color w:val="000000" w:themeColor="text1"/>
          <w:sz w:val="20"/>
          <w:szCs w:val="20"/>
          <w:lang w:val="en-US"/>
        </w:rPr>
        <w:t>. at 62</w:t>
      </w:r>
      <w:r w:rsidR="008F1E23">
        <w:rPr>
          <w:rFonts w:ascii="Times New Roman" w:hAnsi="Times New Roman" w:cs="Times New Roman"/>
          <w:color w:val="000000" w:themeColor="text1"/>
          <w:sz w:val="20"/>
          <w:szCs w:val="20"/>
          <w:lang w:val="en-US"/>
        </w:rPr>
        <w:t>.</w:t>
      </w:r>
    </w:p>
  </w:footnote>
  <w:footnote w:id="55">
    <w:p w14:paraId="3964A39F" w14:textId="554A1DD4" w:rsidR="00D4767B" w:rsidRPr="006A3B00" w:rsidRDefault="00D4767B">
      <w:pPr>
        <w:pStyle w:val="FootnoteText"/>
        <w:rPr>
          <w:rFonts w:ascii="Times New Roman" w:hAnsi="Times New Roman" w:cs="Times New Roman"/>
          <w:color w:val="000000" w:themeColor="text1"/>
          <w:sz w:val="20"/>
          <w:szCs w:val="20"/>
          <w:lang w:val="en-US"/>
        </w:rPr>
      </w:pPr>
      <w:r w:rsidRPr="006A3B00">
        <w:rPr>
          <w:rStyle w:val="FootnoteReference"/>
          <w:rFonts w:ascii="Times New Roman" w:hAnsi="Times New Roman" w:cs="Times New Roman"/>
          <w:color w:val="000000" w:themeColor="text1"/>
          <w:sz w:val="20"/>
          <w:szCs w:val="20"/>
        </w:rPr>
        <w:footnoteRef/>
      </w:r>
      <w:r w:rsidRPr="006A3B00">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rPr>
        <w:t>Id</w:t>
      </w:r>
      <w:r w:rsidRPr="006A3B00">
        <w:rPr>
          <w:rFonts w:ascii="Times New Roman" w:hAnsi="Times New Roman" w:cs="Times New Roman"/>
          <w:color w:val="000000" w:themeColor="text1"/>
          <w:sz w:val="20"/>
          <w:szCs w:val="20"/>
        </w:rPr>
        <w:t>. at 64</w:t>
      </w:r>
      <w:r w:rsidR="008F1E23">
        <w:rPr>
          <w:rFonts w:ascii="Times New Roman" w:hAnsi="Times New Roman" w:cs="Times New Roman"/>
          <w:color w:val="000000" w:themeColor="text1"/>
          <w:sz w:val="20"/>
          <w:szCs w:val="20"/>
        </w:rPr>
        <w:t>.</w:t>
      </w:r>
    </w:p>
  </w:footnote>
  <w:footnote w:id="56">
    <w:p w14:paraId="0EEC4D34" w14:textId="17674335" w:rsidR="00D4767B" w:rsidRPr="006A3B00" w:rsidRDefault="00D4767B">
      <w:pPr>
        <w:pStyle w:val="FootnoteText"/>
        <w:rPr>
          <w:lang w:val="en-US"/>
        </w:rPr>
      </w:pPr>
      <w:r w:rsidRPr="006A3B00">
        <w:rPr>
          <w:rStyle w:val="FootnoteReference"/>
          <w:rFonts w:ascii="Times New Roman" w:hAnsi="Times New Roman" w:cs="Times New Roman"/>
          <w:color w:val="000000" w:themeColor="text1"/>
          <w:sz w:val="20"/>
          <w:szCs w:val="20"/>
        </w:rPr>
        <w:footnoteRef/>
      </w:r>
      <w:r w:rsidRPr="006A3B00">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6A3B00">
        <w:rPr>
          <w:rFonts w:ascii="Times New Roman" w:hAnsi="Times New Roman" w:cs="Times New Roman"/>
          <w:color w:val="000000" w:themeColor="text1"/>
          <w:sz w:val="20"/>
          <w:szCs w:val="20"/>
          <w:lang w:val="en-US"/>
        </w:rPr>
        <w:t>. at 65</w:t>
      </w:r>
      <w:r w:rsidR="008F1E23">
        <w:rPr>
          <w:rFonts w:ascii="Times New Roman" w:hAnsi="Times New Roman" w:cs="Times New Roman"/>
          <w:color w:val="000000" w:themeColor="text1"/>
          <w:sz w:val="20"/>
          <w:szCs w:val="20"/>
          <w:lang w:val="en-US"/>
        </w:rPr>
        <w:t>.</w:t>
      </w:r>
    </w:p>
  </w:footnote>
  <w:footnote w:id="57">
    <w:p w14:paraId="453AC767" w14:textId="6F6C252B" w:rsidR="00D4767B" w:rsidRPr="00FB0688" w:rsidRDefault="00D4767B" w:rsidP="0086393E">
      <w:pPr>
        <w:rPr>
          <w:rFonts w:ascii="Times New Roman" w:eastAsia="Times New Roman" w:hAnsi="Times New Roman" w:cs="Times New Roman"/>
          <w:color w:val="000000" w:themeColor="text1"/>
          <w:sz w:val="20"/>
          <w:szCs w:val="20"/>
          <w:lang w:val="en-US"/>
        </w:rPr>
      </w:pPr>
      <w:r w:rsidRPr="00FB0688">
        <w:rPr>
          <w:rStyle w:val="FootnoteReference"/>
          <w:rFonts w:ascii="Times New Roman" w:hAnsi="Times New Roman" w:cs="Times New Roman"/>
          <w:color w:val="000000" w:themeColor="text1"/>
          <w:sz w:val="20"/>
          <w:szCs w:val="20"/>
        </w:rPr>
        <w:footnoteRef/>
      </w:r>
      <w:r w:rsidRPr="00FB0688">
        <w:rPr>
          <w:rFonts w:ascii="Times New Roman" w:hAnsi="Times New Roman" w:cs="Times New Roman"/>
          <w:color w:val="000000" w:themeColor="text1"/>
          <w:sz w:val="20"/>
          <w:szCs w:val="20"/>
        </w:rPr>
        <w:t xml:space="preserve"> </w:t>
      </w:r>
      <w:r w:rsidRPr="00FB0688">
        <w:rPr>
          <w:rFonts w:ascii="Times New Roman" w:eastAsia="Times New Roman" w:hAnsi="Times New Roman" w:cs="Times New Roman"/>
          <w:color w:val="000000" w:themeColor="text1"/>
          <w:sz w:val="20"/>
          <w:szCs w:val="20"/>
          <w:lang w:val="en-US"/>
        </w:rPr>
        <w:t>800 Fed.Appx. 533 (</w:t>
      </w:r>
      <w:r>
        <w:rPr>
          <w:rFonts w:ascii="Times New Roman" w:eastAsia="Times New Roman" w:hAnsi="Times New Roman" w:cs="Times New Roman"/>
          <w:color w:val="000000" w:themeColor="text1"/>
          <w:sz w:val="20"/>
          <w:szCs w:val="20"/>
          <w:lang w:val="en-US"/>
        </w:rPr>
        <w:t xml:space="preserve">6th </w:t>
      </w:r>
      <w:r w:rsidRPr="00FB0688">
        <w:rPr>
          <w:rFonts w:ascii="Times New Roman" w:eastAsia="Times New Roman" w:hAnsi="Times New Roman" w:cs="Times New Roman"/>
          <w:color w:val="000000" w:themeColor="text1"/>
          <w:sz w:val="20"/>
          <w:szCs w:val="20"/>
          <w:lang w:val="en-US"/>
        </w:rPr>
        <w:t>Cir. Apr. 6, 2020)</w:t>
      </w:r>
      <w:r w:rsidR="00D308A1">
        <w:rPr>
          <w:rFonts w:ascii="Times New Roman" w:eastAsia="Times New Roman" w:hAnsi="Times New Roman" w:cs="Times New Roman"/>
          <w:color w:val="000000" w:themeColor="text1"/>
          <w:sz w:val="20"/>
          <w:szCs w:val="20"/>
          <w:lang w:val="en-US"/>
        </w:rPr>
        <w:t>.</w:t>
      </w:r>
    </w:p>
  </w:footnote>
  <w:footnote w:id="58">
    <w:p w14:paraId="347A1E97" w14:textId="474CACEB" w:rsidR="00D4767B" w:rsidRPr="00FB0688" w:rsidRDefault="00D4767B">
      <w:pPr>
        <w:pStyle w:val="FootnoteText"/>
        <w:rPr>
          <w:rFonts w:ascii="Times New Roman" w:hAnsi="Times New Roman" w:cs="Times New Roman"/>
          <w:color w:val="000000" w:themeColor="text1"/>
          <w:sz w:val="20"/>
          <w:szCs w:val="20"/>
          <w:lang w:val="en-US"/>
        </w:rPr>
      </w:pPr>
      <w:r w:rsidRPr="00FB0688">
        <w:rPr>
          <w:rStyle w:val="FootnoteReference"/>
          <w:rFonts w:ascii="Times New Roman" w:hAnsi="Times New Roman" w:cs="Times New Roman"/>
          <w:color w:val="000000" w:themeColor="text1"/>
          <w:sz w:val="20"/>
          <w:szCs w:val="20"/>
        </w:rPr>
        <w:footnoteRef/>
      </w:r>
      <w:r w:rsidRPr="00FB0688">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FB0688">
        <w:rPr>
          <w:rFonts w:ascii="Times New Roman" w:hAnsi="Times New Roman" w:cs="Times New Roman"/>
          <w:color w:val="000000" w:themeColor="text1"/>
          <w:sz w:val="20"/>
          <w:szCs w:val="20"/>
          <w:lang w:val="en-US"/>
        </w:rPr>
        <w:t>. at 534</w:t>
      </w:r>
      <w:r w:rsidR="008F1E23">
        <w:rPr>
          <w:rFonts w:ascii="Times New Roman" w:hAnsi="Times New Roman" w:cs="Times New Roman"/>
          <w:color w:val="000000" w:themeColor="text1"/>
          <w:sz w:val="20"/>
          <w:szCs w:val="20"/>
          <w:lang w:val="en-US"/>
        </w:rPr>
        <w:t>.</w:t>
      </w:r>
    </w:p>
  </w:footnote>
  <w:footnote w:id="59">
    <w:p w14:paraId="4FEF1872" w14:textId="3E6714A1" w:rsidR="00D4767B" w:rsidRPr="00C72557" w:rsidRDefault="00D4767B">
      <w:pPr>
        <w:pStyle w:val="FootnoteText"/>
        <w:rPr>
          <w:rFonts w:ascii="Times New Roman" w:hAnsi="Times New Roman" w:cs="Times New Roman"/>
          <w:color w:val="000000" w:themeColor="text1"/>
          <w:sz w:val="20"/>
          <w:szCs w:val="20"/>
          <w:lang w:val="en-US"/>
        </w:rPr>
      </w:pPr>
      <w:r w:rsidRPr="00FB0688">
        <w:rPr>
          <w:rStyle w:val="FootnoteReference"/>
          <w:rFonts w:ascii="Times New Roman" w:hAnsi="Times New Roman" w:cs="Times New Roman"/>
          <w:color w:val="000000" w:themeColor="text1"/>
          <w:sz w:val="20"/>
          <w:szCs w:val="20"/>
        </w:rPr>
        <w:footnoteRef/>
      </w:r>
      <w:r w:rsidRPr="00FB0688">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rPr>
        <w:t>Id</w:t>
      </w:r>
      <w:r w:rsidRPr="00FB0688">
        <w:rPr>
          <w:rFonts w:ascii="Times New Roman" w:hAnsi="Times New Roman" w:cs="Times New Roman"/>
          <w:color w:val="000000" w:themeColor="text1"/>
          <w:sz w:val="20"/>
          <w:szCs w:val="20"/>
        </w:rPr>
        <w:t>.</w:t>
      </w:r>
      <w:r w:rsidRPr="00FB0688">
        <w:rPr>
          <w:rFonts w:ascii="Times New Roman" w:hAnsi="Times New Roman" w:cs="Times New Roman"/>
          <w:color w:val="000000" w:themeColor="text1"/>
          <w:sz w:val="20"/>
          <w:szCs w:val="20"/>
          <w:lang w:val="en-US"/>
        </w:rPr>
        <w:t xml:space="preserve"> </w:t>
      </w:r>
    </w:p>
  </w:footnote>
  <w:footnote w:id="60">
    <w:p w14:paraId="5E9574C2" w14:textId="63928CC2"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at 534-535</w:t>
      </w:r>
      <w:r w:rsidR="008F1E23">
        <w:rPr>
          <w:rFonts w:ascii="Times New Roman" w:hAnsi="Times New Roman" w:cs="Times New Roman"/>
          <w:color w:val="000000" w:themeColor="text1"/>
          <w:sz w:val="20"/>
          <w:szCs w:val="20"/>
          <w:lang w:val="en-US"/>
        </w:rPr>
        <w:t>.</w:t>
      </w:r>
    </w:p>
  </w:footnote>
  <w:footnote w:id="61">
    <w:p w14:paraId="2ABC4F3F" w14:textId="55E77B59"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960 F.3d 836 (6th Cir. June 3, 2020)</w:t>
      </w:r>
      <w:r w:rsidR="00D308A1">
        <w:rPr>
          <w:rFonts w:ascii="Times New Roman" w:eastAsia="Times New Roman" w:hAnsi="Times New Roman" w:cs="Times New Roman"/>
          <w:color w:val="000000" w:themeColor="text1"/>
          <w:sz w:val="20"/>
          <w:szCs w:val="20"/>
        </w:rPr>
        <w:t>.</w:t>
      </w:r>
    </w:p>
  </w:footnote>
  <w:footnote w:id="62">
    <w:p w14:paraId="1538DAAA" w14:textId="09C9CEEF"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845</w:t>
      </w:r>
      <w:r w:rsidR="008F1E23">
        <w:rPr>
          <w:rFonts w:ascii="Times New Roman" w:eastAsia="Times New Roman" w:hAnsi="Times New Roman" w:cs="Times New Roman"/>
          <w:color w:val="000000" w:themeColor="text1"/>
          <w:sz w:val="20"/>
          <w:szCs w:val="20"/>
        </w:rPr>
        <w:t>.</w:t>
      </w:r>
    </w:p>
  </w:footnote>
  <w:footnote w:id="63">
    <w:p w14:paraId="412956C4" w14:textId="79364CEE"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w:t>
      </w:r>
    </w:p>
  </w:footnote>
  <w:footnote w:id="64">
    <w:p w14:paraId="69F28115" w14:textId="511BBD06"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xml:space="preserve">. </w:t>
      </w:r>
    </w:p>
  </w:footnote>
  <w:footnote w:id="65">
    <w:p w14:paraId="51DBB189" w14:textId="2C73F128" w:rsidR="00D4767B" w:rsidRPr="00C72557" w:rsidRDefault="00D4767B" w:rsidP="00E658B2">
      <w:pPr>
        <w:widowControl w:val="0"/>
        <w:autoSpaceDE w:val="0"/>
        <w:autoSpaceDN w:val="0"/>
        <w:adjustRightInd w:val="0"/>
        <w:spacing w:line="300" w:lineRule="atLeas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C72557">
        <w:rPr>
          <w:rFonts w:ascii="Times New Roman" w:hAnsi="Times New Roman" w:cs="Times New Roman"/>
          <w:color w:val="000000" w:themeColor="text1"/>
          <w:sz w:val="20"/>
          <w:szCs w:val="20"/>
          <w:lang w:val="en-US"/>
        </w:rPr>
        <w:t>981 F.3d 516</w:t>
      </w:r>
      <w:r w:rsidR="008F1E23">
        <w:rPr>
          <w:rFonts w:ascii="Times New Roman" w:hAnsi="Times New Roman" w:cs="Times New Roman"/>
          <w:color w:val="000000" w:themeColor="text1"/>
          <w:sz w:val="20"/>
          <w:szCs w:val="20"/>
          <w:lang w:val="en-US"/>
        </w:rPr>
        <w:t xml:space="preserve"> </w:t>
      </w:r>
      <w:r w:rsidRPr="00C72557">
        <w:rPr>
          <w:rFonts w:ascii="Times New Roman" w:eastAsia="MS Mincho" w:hAnsi="Times New Roman" w:cs="Times New Roman"/>
          <w:color w:val="000000" w:themeColor="text1"/>
          <w:sz w:val="20"/>
          <w:szCs w:val="20"/>
          <w:lang w:val="en-US"/>
        </w:rPr>
        <w:t>(</w:t>
      </w:r>
      <w:r>
        <w:rPr>
          <w:rFonts w:ascii="Times New Roman" w:eastAsia="MS Mincho" w:hAnsi="Times New Roman" w:cs="Times New Roman"/>
          <w:color w:val="000000" w:themeColor="text1"/>
          <w:sz w:val="20"/>
          <w:szCs w:val="20"/>
          <w:lang w:val="en-US"/>
        </w:rPr>
        <w:t xml:space="preserve">6th </w:t>
      </w:r>
      <w:r w:rsidRPr="00C72557">
        <w:rPr>
          <w:rFonts w:ascii="Times New Roman" w:eastAsia="MS Mincho" w:hAnsi="Times New Roman" w:cs="Times New Roman"/>
          <w:color w:val="000000" w:themeColor="text1"/>
          <w:sz w:val="20"/>
          <w:szCs w:val="20"/>
          <w:lang w:val="en-US"/>
        </w:rPr>
        <w:t>Cir. Dec. 1, 2020)</w:t>
      </w:r>
      <w:r w:rsidR="00D308A1">
        <w:rPr>
          <w:rFonts w:ascii="Times New Roman" w:eastAsia="MS Mincho" w:hAnsi="Times New Roman" w:cs="Times New Roman"/>
          <w:color w:val="000000" w:themeColor="text1"/>
          <w:sz w:val="20"/>
          <w:szCs w:val="20"/>
          <w:lang w:val="en-US"/>
        </w:rPr>
        <w:t>.</w:t>
      </w:r>
    </w:p>
  </w:footnote>
  <w:footnote w:id="66">
    <w:p w14:paraId="4727CA42" w14:textId="586308FC" w:rsidR="00D4767B" w:rsidRPr="001261E1" w:rsidRDefault="00D4767B">
      <w:pPr>
        <w:pStyle w:val="FootnoteText"/>
        <w:rPr>
          <w:rFonts w:ascii="Times New Roman" w:hAnsi="Times New Roman" w:cs="Times New Roman"/>
          <w:sz w:val="20"/>
          <w:szCs w:val="20"/>
          <w:lang w:val="en-US"/>
        </w:rPr>
      </w:pPr>
      <w:r w:rsidRPr="001261E1">
        <w:rPr>
          <w:rStyle w:val="FootnoteReference"/>
          <w:rFonts w:ascii="Times New Roman" w:hAnsi="Times New Roman" w:cs="Times New Roman"/>
          <w:sz w:val="20"/>
          <w:szCs w:val="20"/>
        </w:rPr>
        <w:footnoteRef/>
      </w:r>
      <w:r w:rsidRPr="001261E1">
        <w:rPr>
          <w:rFonts w:ascii="Times New Roman" w:hAnsi="Times New Roman" w:cs="Times New Roman"/>
          <w:sz w:val="20"/>
          <w:szCs w:val="20"/>
        </w:rPr>
        <w:t xml:space="preserve"> </w:t>
      </w:r>
      <w:r w:rsidRPr="001261E1">
        <w:rPr>
          <w:rFonts w:ascii="Times New Roman" w:hAnsi="Times New Roman" w:cs="Times New Roman"/>
          <w:i/>
          <w:sz w:val="20"/>
          <w:szCs w:val="20"/>
          <w:lang w:val="en-US"/>
        </w:rPr>
        <w:t xml:space="preserve">Id. </w:t>
      </w:r>
      <w:r w:rsidRPr="001261E1">
        <w:rPr>
          <w:rFonts w:ascii="Times New Roman" w:hAnsi="Times New Roman" w:cs="Times New Roman"/>
          <w:sz w:val="20"/>
          <w:szCs w:val="20"/>
          <w:lang w:val="en-US"/>
        </w:rPr>
        <w:t>at 521</w:t>
      </w:r>
      <w:r w:rsidR="008F1E23">
        <w:rPr>
          <w:rFonts w:ascii="Times New Roman" w:hAnsi="Times New Roman" w:cs="Times New Roman"/>
          <w:sz w:val="20"/>
          <w:szCs w:val="20"/>
          <w:lang w:val="en-US"/>
        </w:rPr>
        <w:t>.</w:t>
      </w:r>
    </w:p>
  </w:footnote>
  <w:footnote w:id="67">
    <w:p w14:paraId="174EE157" w14:textId="6A5C944B"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520</w:t>
      </w:r>
      <w:r w:rsidR="008F1E23">
        <w:rPr>
          <w:rFonts w:ascii="Times New Roman" w:eastAsia="Times New Roman" w:hAnsi="Times New Roman" w:cs="Times New Roman"/>
          <w:color w:val="000000" w:themeColor="text1"/>
          <w:sz w:val="20"/>
          <w:szCs w:val="20"/>
        </w:rPr>
        <w:t>.</w:t>
      </w:r>
    </w:p>
  </w:footnote>
  <w:footnote w:id="68">
    <w:p w14:paraId="30ED21FD" w14:textId="7CB1FEE6"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xml:space="preserve"> at 527</w:t>
      </w:r>
      <w:r w:rsidR="008F1E23">
        <w:rPr>
          <w:rFonts w:ascii="Times New Roman" w:eastAsia="Times New Roman" w:hAnsi="Times New Roman" w:cs="Times New Roman"/>
          <w:color w:val="000000" w:themeColor="text1"/>
          <w:sz w:val="20"/>
          <w:szCs w:val="20"/>
        </w:rPr>
        <w:t>.</w:t>
      </w:r>
    </w:p>
  </w:footnote>
  <w:footnote w:id="69">
    <w:p w14:paraId="143DA720" w14:textId="302F68B8" w:rsidR="00D4767B" w:rsidRPr="00C72557" w:rsidRDefault="00D4767B" w:rsidP="00B01382">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xml:space="preserve">. </w:t>
      </w:r>
    </w:p>
  </w:footnote>
  <w:footnote w:id="70">
    <w:p w14:paraId="08373609" w14:textId="76F74D9D" w:rsidR="00D4767B" w:rsidRPr="00C72557" w:rsidRDefault="00D4767B" w:rsidP="006F4AC7">
      <w:pPr>
        <w:rPr>
          <w:rFonts w:ascii="Times New Roman" w:eastAsia="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C72557">
        <w:rPr>
          <w:rFonts w:ascii="Times New Roman" w:eastAsia="Times New Roman" w:hAnsi="Times New Roman" w:cs="Times New Roman"/>
          <w:color w:val="000000" w:themeColor="text1"/>
          <w:sz w:val="20"/>
          <w:szCs w:val="20"/>
          <w:lang w:val="en-US"/>
        </w:rPr>
        <w:t>950 F.3d 134 (</w:t>
      </w:r>
      <w:r>
        <w:rPr>
          <w:rFonts w:ascii="Times New Roman" w:eastAsia="Times New Roman" w:hAnsi="Times New Roman" w:cs="Times New Roman"/>
          <w:color w:val="000000" w:themeColor="text1"/>
          <w:sz w:val="20"/>
          <w:szCs w:val="20"/>
          <w:lang w:val="en-US"/>
        </w:rPr>
        <w:t xml:space="preserve">1st </w:t>
      </w:r>
      <w:r w:rsidRPr="00C72557">
        <w:rPr>
          <w:rFonts w:ascii="Times New Roman" w:eastAsia="Times New Roman" w:hAnsi="Times New Roman" w:cs="Times New Roman"/>
          <w:color w:val="000000" w:themeColor="text1"/>
          <w:sz w:val="20"/>
          <w:szCs w:val="20"/>
          <w:lang w:val="en-US"/>
        </w:rPr>
        <w:t>Cir. Feb. 19, 2020)</w:t>
      </w:r>
      <w:r w:rsidR="00D308A1">
        <w:rPr>
          <w:rFonts w:ascii="Times New Roman" w:eastAsia="Times New Roman" w:hAnsi="Times New Roman" w:cs="Times New Roman"/>
          <w:color w:val="000000" w:themeColor="text1"/>
          <w:sz w:val="20"/>
          <w:szCs w:val="20"/>
          <w:lang w:val="en-US"/>
        </w:rPr>
        <w:t>.</w:t>
      </w:r>
    </w:p>
  </w:footnote>
  <w:footnote w:id="71">
    <w:p w14:paraId="73033552" w14:textId="538CAED8"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Pr>
          <w:rFonts w:ascii="Times New Roman" w:hAnsi="Times New Roman" w:cs="Times New Roman"/>
          <w:color w:val="000000" w:themeColor="text1"/>
          <w:sz w:val="20"/>
          <w:szCs w:val="20"/>
          <w:lang w:val="en-US"/>
        </w:rPr>
        <w:t>.</w:t>
      </w:r>
      <w:r w:rsidRPr="00C72557">
        <w:rPr>
          <w:rFonts w:ascii="Times New Roman" w:hAnsi="Times New Roman" w:cs="Times New Roman"/>
          <w:color w:val="000000" w:themeColor="text1"/>
          <w:sz w:val="20"/>
          <w:szCs w:val="20"/>
          <w:lang w:val="en-US"/>
        </w:rPr>
        <w:t xml:space="preserve"> at 145</w:t>
      </w:r>
      <w:r w:rsidR="008F1E23">
        <w:rPr>
          <w:rFonts w:ascii="Times New Roman" w:hAnsi="Times New Roman" w:cs="Times New Roman"/>
          <w:color w:val="000000" w:themeColor="text1"/>
          <w:sz w:val="20"/>
          <w:szCs w:val="20"/>
          <w:lang w:val="en-US"/>
        </w:rPr>
        <w:t>.</w:t>
      </w:r>
    </w:p>
  </w:footnote>
  <w:footnote w:id="72">
    <w:p w14:paraId="7DC3442F" w14:textId="18CCDDBA" w:rsidR="00D4767B" w:rsidRPr="00C72557" w:rsidRDefault="00D4767B" w:rsidP="00213E95">
      <w:pPr>
        <w:rPr>
          <w:rFonts w:ascii="Times New Roman" w:eastAsia="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at 146</w:t>
      </w:r>
      <w:r w:rsidR="008F1E23">
        <w:rPr>
          <w:rFonts w:ascii="Times New Roman" w:hAnsi="Times New Roman" w:cs="Times New Roman"/>
          <w:color w:val="000000" w:themeColor="text1"/>
          <w:sz w:val="20"/>
          <w:szCs w:val="20"/>
          <w:lang w:val="en-US"/>
        </w:rPr>
        <w:t>.</w:t>
      </w:r>
    </w:p>
  </w:footnote>
  <w:footnote w:id="73">
    <w:p w14:paraId="4D7AFD54" w14:textId="46860108"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at 146</w:t>
      </w:r>
      <w:r w:rsidR="008F1E23">
        <w:rPr>
          <w:rFonts w:ascii="Times New Roman" w:hAnsi="Times New Roman" w:cs="Times New Roman"/>
          <w:color w:val="000000" w:themeColor="text1"/>
          <w:sz w:val="20"/>
          <w:szCs w:val="20"/>
          <w:lang w:val="en-US"/>
        </w:rPr>
        <w:t>.</w:t>
      </w:r>
    </w:p>
  </w:footnote>
  <w:footnote w:id="74">
    <w:p w14:paraId="72C1D84B" w14:textId="14D6D558"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rPr>
        <w:t>Id</w:t>
      </w:r>
      <w:r w:rsidRPr="00C72557">
        <w:rPr>
          <w:rFonts w:ascii="Times New Roman" w:hAnsi="Times New Roman" w:cs="Times New Roman"/>
          <w:color w:val="000000" w:themeColor="text1"/>
          <w:sz w:val="20"/>
          <w:szCs w:val="20"/>
        </w:rPr>
        <w:t>.</w:t>
      </w:r>
      <w:r w:rsidRPr="00C72557">
        <w:rPr>
          <w:rFonts w:ascii="Times New Roman" w:hAnsi="Times New Roman" w:cs="Times New Roman"/>
          <w:color w:val="000000" w:themeColor="text1"/>
          <w:sz w:val="20"/>
          <w:szCs w:val="20"/>
          <w:lang w:val="en-US"/>
        </w:rPr>
        <w:t xml:space="preserve"> at 147</w:t>
      </w:r>
      <w:r w:rsidR="008F1E23">
        <w:rPr>
          <w:rFonts w:ascii="Times New Roman" w:hAnsi="Times New Roman" w:cs="Times New Roman"/>
          <w:color w:val="000000" w:themeColor="text1"/>
          <w:sz w:val="20"/>
          <w:szCs w:val="20"/>
          <w:lang w:val="en-US"/>
        </w:rPr>
        <w:t>.</w:t>
      </w:r>
    </w:p>
  </w:footnote>
  <w:footnote w:id="75">
    <w:p w14:paraId="6B14E3F3" w14:textId="10C33D2E"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at 146</w:t>
      </w:r>
      <w:r w:rsidR="008F1E23">
        <w:rPr>
          <w:rFonts w:ascii="Times New Roman" w:hAnsi="Times New Roman" w:cs="Times New Roman"/>
          <w:color w:val="000000" w:themeColor="text1"/>
          <w:sz w:val="20"/>
          <w:szCs w:val="20"/>
          <w:lang w:val="en-US"/>
        </w:rPr>
        <w:t>.</w:t>
      </w:r>
    </w:p>
  </w:footnote>
  <w:footnote w:id="76">
    <w:p w14:paraId="5F69885F" w14:textId="0869882F" w:rsidR="00D4767B" w:rsidRPr="00C72557" w:rsidRDefault="00D4767B" w:rsidP="001566E8">
      <w:pPr>
        <w:rPr>
          <w:rFonts w:ascii="Times New Roman" w:eastAsia="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C72557">
        <w:rPr>
          <w:rFonts w:ascii="Times New Roman" w:eastAsia="Times New Roman" w:hAnsi="Times New Roman" w:cs="Times New Roman"/>
          <w:color w:val="000000" w:themeColor="text1"/>
          <w:sz w:val="20"/>
          <w:szCs w:val="20"/>
          <w:lang w:val="en-US"/>
        </w:rPr>
        <w:t>974 F.3d 228 (</w:t>
      </w:r>
      <w:r>
        <w:rPr>
          <w:rFonts w:ascii="Times New Roman" w:eastAsia="Times New Roman" w:hAnsi="Times New Roman" w:cs="Times New Roman"/>
          <w:color w:val="000000" w:themeColor="text1"/>
          <w:sz w:val="20"/>
          <w:szCs w:val="20"/>
          <w:lang w:val="en-US"/>
        </w:rPr>
        <w:t xml:space="preserve">3rd </w:t>
      </w:r>
      <w:r w:rsidRPr="00C72557">
        <w:rPr>
          <w:rFonts w:ascii="Times New Roman" w:eastAsia="Times New Roman" w:hAnsi="Times New Roman" w:cs="Times New Roman"/>
          <w:color w:val="000000" w:themeColor="text1"/>
          <w:sz w:val="20"/>
          <w:szCs w:val="20"/>
          <w:lang w:val="en-US"/>
        </w:rPr>
        <w:t>Cir. June 25, 2020)</w:t>
      </w:r>
      <w:r w:rsidR="00D308A1">
        <w:rPr>
          <w:rFonts w:ascii="Times New Roman" w:eastAsia="Times New Roman" w:hAnsi="Times New Roman" w:cs="Times New Roman"/>
          <w:color w:val="000000" w:themeColor="text1"/>
          <w:sz w:val="20"/>
          <w:szCs w:val="20"/>
          <w:lang w:val="en-US"/>
        </w:rPr>
        <w:t>.</w:t>
      </w:r>
    </w:p>
  </w:footnote>
  <w:footnote w:id="77">
    <w:p w14:paraId="1CCC7666" w14:textId="2D0EC7A2" w:rsidR="00D4767B" w:rsidRPr="00C72557" w:rsidRDefault="00D4767B" w:rsidP="001566E8">
      <w:pPr>
        <w:rPr>
          <w:rFonts w:ascii="Times New Roman" w:eastAsia="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Pr>
          <w:rFonts w:ascii="Times New Roman" w:hAnsi="Times New Roman" w:cs="Times New Roman"/>
          <w:color w:val="000000" w:themeColor="text1"/>
          <w:sz w:val="20"/>
          <w:szCs w:val="20"/>
          <w:lang w:val="en-US"/>
        </w:rPr>
        <w:t>.</w:t>
      </w:r>
      <w:r w:rsidRPr="00C72557">
        <w:rPr>
          <w:rFonts w:ascii="Times New Roman" w:hAnsi="Times New Roman" w:cs="Times New Roman"/>
          <w:color w:val="000000" w:themeColor="text1"/>
          <w:sz w:val="20"/>
          <w:szCs w:val="20"/>
          <w:lang w:val="en-US"/>
        </w:rPr>
        <w:t xml:space="preserve"> at 231</w:t>
      </w:r>
      <w:r w:rsidR="008F1E23">
        <w:rPr>
          <w:rFonts w:ascii="Times New Roman" w:hAnsi="Times New Roman" w:cs="Times New Roman"/>
          <w:color w:val="000000" w:themeColor="text1"/>
          <w:sz w:val="20"/>
          <w:szCs w:val="20"/>
          <w:lang w:val="en-US"/>
        </w:rPr>
        <w:t>.</w:t>
      </w:r>
    </w:p>
  </w:footnote>
  <w:footnote w:id="78">
    <w:p w14:paraId="65B30B94" w14:textId="549772FA"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Pr>
          <w:rFonts w:ascii="Times New Roman" w:hAnsi="Times New Roman" w:cs="Times New Roman"/>
          <w:color w:val="000000" w:themeColor="text1"/>
          <w:sz w:val="20"/>
          <w:szCs w:val="20"/>
          <w:lang w:val="en-US"/>
        </w:rPr>
        <w:t>.</w:t>
      </w:r>
      <w:r w:rsidRPr="00C72557">
        <w:rPr>
          <w:rFonts w:ascii="Times New Roman" w:hAnsi="Times New Roman" w:cs="Times New Roman"/>
          <w:color w:val="000000" w:themeColor="text1"/>
          <w:sz w:val="20"/>
          <w:szCs w:val="20"/>
          <w:lang w:val="en-US"/>
        </w:rPr>
        <w:t xml:space="preserve"> at 235</w:t>
      </w:r>
      <w:r w:rsidR="008F1E23">
        <w:rPr>
          <w:rFonts w:ascii="Times New Roman" w:hAnsi="Times New Roman" w:cs="Times New Roman"/>
          <w:color w:val="000000" w:themeColor="text1"/>
          <w:sz w:val="20"/>
          <w:szCs w:val="20"/>
          <w:lang w:val="en-US"/>
        </w:rPr>
        <w:t>.</w:t>
      </w:r>
    </w:p>
  </w:footnote>
  <w:footnote w:id="79">
    <w:p w14:paraId="2BE0048A" w14:textId="5122B09E"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xml:space="preserve"> at 232</w:t>
      </w:r>
      <w:r w:rsidR="008F1E23">
        <w:rPr>
          <w:rFonts w:ascii="Times New Roman" w:hAnsi="Times New Roman" w:cs="Times New Roman"/>
          <w:color w:val="000000" w:themeColor="text1"/>
          <w:sz w:val="20"/>
          <w:szCs w:val="20"/>
          <w:lang w:val="en-US"/>
        </w:rPr>
        <w:t>.</w:t>
      </w:r>
    </w:p>
  </w:footnote>
  <w:footnote w:id="80">
    <w:p w14:paraId="25B09F09" w14:textId="3ADE8866" w:rsidR="00D4767B" w:rsidRPr="00C72557" w:rsidRDefault="00D4767B" w:rsidP="00F57259">
      <w:pPr>
        <w:rPr>
          <w:rFonts w:ascii="Times New Roman" w:eastAsia="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Pr>
          <w:rFonts w:ascii="Times New Roman" w:hAnsi="Times New Roman" w:cs="Times New Roman"/>
          <w:color w:val="000000" w:themeColor="text1"/>
          <w:sz w:val="20"/>
          <w:szCs w:val="20"/>
          <w:lang w:val="en-US"/>
        </w:rPr>
        <w:t>.</w:t>
      </w:r>
      <w:r w:rsidRPr="00C72557">
        <w:rPr>
          <w:rFonts w:ascii="Times New Roman" w:hAnsi="Times New Roman" w:cs="Times New Roman"/>
          <w:color w:val="000000" w:themeColor="text1"/>
          <w:sz w:val="20"/>
          <w:szCs w:val="20"/>
          <w:lang w:val="en-US"/>
        </w:rPr>
        <w:t xml:space="preserve"> at 232</w:t>
      </w:r>
      <w:r w:rsidR="008F1E23">
        <w:rPr>
          <w:rFonts w:ascii="Times New Roman" w:hAnsi="Times New Roman" w:cs="Times New Roman"/>
          <w:color w:val="000000" w:themeColor="text1"/>
          <w:sz w:val="20"/>
          <w:szCs w:val="20"/>
          <w:lang w:val="en-US"/>
        </w:rPr>
        <w:t>.</w:t>
      </w:r>
    </w:p>
  </w:footnote>
  <w:footnote w:id="81">
    <w:p w14:paraId="24232EE5" w14:textId="539A2833"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963 F.3d 733 (8th Cir. June 25, 2020)</w:t>
      </w:r>
      <w:r w:rsidR="00D308A1">
        <w:rPr>
          <w:rFonts w:ascii="Times New Roman" w:hAnsi="Times New Roman" w:cs="Times New Roman"/>
          <w:color w:val="000000" w:themeColor="text1"/>
          <w:sz w:val="20"/>
          <w:szCs w:val="20"/>
        </w:rPr>
        <w:t>.</w:t>
      </w:r>
    </w:p>
  </w:footnote>
  <w:footnote w:id="82">
    <w:p w14:paraId="5CF199BF" w14:textId="763C372A" w:rsidR="00D4767B" w:rsidRPr="00C72557" w:rsidRDefault="00D4767B" w:rsidP="007853B9">
      <w:pPr>
        <w:widowControl w:val="0"/>
        <w:autoSpaceDE w:val="0"/>
        <w:autoSpaceDN w:val="0"/>
        <w:adjustRightInd w:val="0"/>
        <w:spacing w:after="240" w:line="320" w:lineRule="atLeas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xml:space="preserve">. </w:t>
      </w:r>
      <w:r w:rsidR="008F1E23">
        <w:rPr>
          <w:rFonts w:ascii="Times New Roman" w:hAnsi="Times New Roman" w:cs="Times New Roman"/>
          <w:color w:val="000000" w:themeColor="text1"/>
          <w:sz w:val="20"/>
          <w:szCs w:val="20"/>
          <w:lang w:val="en-US"/>
        </w:rPr>
        <w:t xml:space="preserve">at </w:t>
      </w:r>
      <w:r w:rsidRPr="00C72557">
        <w:rPr>
          <w:rFonts w:ascii="Times New Roman" w:hAnsi="Times New Roman" w:cs="Times New Roman"/>
          <w:color w:val="000000" w:themeColor="text1"/>
          <w:sz w:val="20"/>
          <w:szCs w:val="20"/>
          <w:lang w:val="en-US"/>
        </w:rPr>
        <w:t>740</w:t>
      </w:r>
      <w:r w:rsidR="008F1E23">
        <w:rPr>
          <w:rFonts w:ascii="Times New Roman" w:hAnsi="Times New Roman" w:cs="Times New Roman"/>
          <w:color w:val="000000" w:themeColor="text1"/>
          <w:sz w:val="20"/>
          <w:szCs w:val="20"/>
          <w:lang w:val="en-US"/>
        </w:rPr>
        <w:t>.</w:t>
      </w:r>
    </w:p>
  </w:footnote>
  <w:footnote w:id="83">
    <w:p w14:paraId="00FA52D8" w14:textId="5C04FE0C"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816 Fed.Appx. 892 (5th Cir. May 28, 2020)</w:t>
      </w:r>
      <w:r w:rsidR="00D308A1">
        <w:rPr>
          <w:rFonts w:ascii="Times New Roman" w:hAnsi="Times New Roman" w:cs="Times New Roman"/>
          <w:color w:val="000000" w:themeColor="text1"/>
          <w:sz w:val="20"/>
          <w:szCs w:val="20"/>
        </w:rPr>
        <w:t>.</w:t>
      </w:r>
    </w:p>
  </w:footnote>
  <w:footnote w:id="84">
    <w:p w14:paraId="1F38F651" w14:textId="7F1D367F"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at 898</w:t>
      </w:r>
      <w:r w:rsidR="008F1E23">
        <w:rPr>
          <w:rFonts w:ascii="Times New Roman" w:hAnsi="Times New Roman" w:cs="Times New Roman"/>
          <w:color w:val="000000" w:themeColor="text1"/>
          <w:sz w:val="20"/>
          <w:szCs w:val="20"/>
          <w:lang w:val="en-US"/>
        </w:rPr>
        <w:t>.</w:t>
      </w:r>
    </w:p>
  </w:footnote>
  <w:footnote w:id="85">
    <w:p w14:paraId="703427E6" w14:textId="4693042D"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2020 WL 6051599 (S.D. Iowa April 1, 2020)</w:t>
      </w:r>
      <w:r w:rsidR="00D308A1">
        <w:rPr>
          <w:rFonts w:ascii="Times New Roman" w:hAnsi="Times New Roman" w:cs="Times New Roman"/>
          <w:color w:val="000000" w:themeColor="text1"/>
          <w:sz w:val="20"/>
          <w:szCs w:val="20"/>
        </w:rPr>
        <w:t>.</w:t>
      </w:r>
    </w:p>
  </w:footnote>
  <w:footnote w:id="86">
    <w:p w14:paraId="3C47CBD3" w14:textId="604FA2A0"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xml:space="preserve">. at </w:t>
      </w:r>
      <w:r w:rsidR="008F1E23">
        <w:rPr>
          <w:rFonts w:ascii="Times New Roman" w:hAnsi="Times New Roman" w:cs="Times New Roman"/>
          <w:color w:val="000000" w:themeColor="text1"/>
          <w:sz w:val="20"/>
          <w:szCs w:val="20"/>
          <w:lang w:val="en-US"/>
        </w:rPr>
        <w:t>*</w:t>
      </w:r>
      <w:r w:rsidRPr="00C72557">
        <w:rPr>
          <w:rFonts w:ascii="Times New Roman" w:hAnsi="Times New Roman" w:cs="Times New Roman"/>
          <w:color w:val="000000" w:themeColor="text1"/>
          <w:sz w:val="20"/>
          <w:szCs w:val="20"/>
          <w:lang w:val="en-US"/>
        </w:rPr>
        <w:t>6</w:t>
      </w:r>
      <w:r w:rsidR="008F1E23">
        <w:rPr>
          <w:rFonts w:ascii="Times New Roman" w:hAnsi="Times New Roman" w:cs="Times New Roman"/>
          <w:color w:val="000000" w:themeColor="text1"/>
          <w:sz w:val="20"/>
          <w:szCs w:val="20"/>
          <w:lang w:val="en-US"/>
        </w:rPr>
        <w:t>.</w:t>
      </w:r>
      <w:r w:rsidRPr="00C72557">
        <w:rPr>
          <w:rFonts w:ascii="Times New Roman" w:hAnsi="Times New Roman" w:cs="Times New Roman"/>
          <w:color w:val="000000" w:themeColor="text1"/>
          <w:sz w:val="20"/>
          <w:szCs w:val="20"/>
          <w:lang w:val="en-US"/>
        </w:rPr>
        <w:t xml:space="preserve"> </w:t>
      </w:r>
    </w:p>
  </w:footnote>
  <w:footnote w:id="87">
    <w:p w14:paraId="4A71B9C0" w14:textId="111408D1"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469 F.Supp.3d 431 (E.D. Pa. June 29, 2020)</w:t>
      </w:r>
      <w:r w:rsidR="00D308A1">
        <w:rPr>
          <w:rFonts w:ascii="Times New Roman" w:hAnsi="Times New Roman" w:cs="Times New Roman"/>
          <w:color w:val="000000" w:themeColor="text1"/>
          <w:sz w:val="20"/>
          <w:szCs w:val="20"/>
        </w:rPr>
        <w:t>.</w:t>
      </w:r>
    </w:p>
  </w:footnote>
  <w:footnote w:id="88">
    <w:p w14:paraId="06B2C489" w14:textId="6A1EC45E"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at 455</w:t>
      </w:r>
      <w:r w:rsidR="008F1E23">
        <w:rPr>
          <w:rFonts w:ascii="Times New Roman" w:hAnsi="Times New Roman" w:cs="Times New Roman"/>
          <w:color w:val="000000" w:themeColor="text1"/>
          <w:sz w:val="20"/>
          <w:szCs w:val="20"/>
          <w:lang w:val="en-US"/>
        </w:rPr>
        <w:t>.</w:t>
      </w:r>
    </w:p>
  </w:footnote>
  <w:footnote w:id="89">
    <w:p w14:paraId="6BF44217" w14:textId="069697CF"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2020 WL 5408212 (N.D. Ala. September 9, 2020)</w:t>
      </w:r>
      <w:r w:rsidR="00D308A1">
        <w:rPr>
          <w:rFonts w:ascii="Times New Roman" w:hAnsi="Times New Roman" w:cs="Times New Roman"/>
          <w:color w:val="000000" w:themeColor="text1"/>
          <w:sz w:val="20"/>
          <w:szCs w:val="20"/>
        </w:rPr>
        <w:t>.</w:t>
      </w:r>
    </w:p>
  </w:footnote>
  <w:footnote w:id="90">
    <w:p w14:paraId="2BCB150F" w14:textId="38E12C1E"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xml:space="preserve">. at </w:t>
      </w:r>
      <w:r w:rsidR="008F1E23">
        <w:rPr>
          <w:rFonts w:ascii="Times New Roman" w:hAnsi="Times New Roman" w:cs="Times New Roman"/>
          <w:color w:val="000000" w:themeColor="text1"/>
          <w:sz w:val="20"/>
          <w:szCs w:val="20"/>
          <w:lang w:val="en-US"/>
        </w:rPr>
        <w:t>*</w:t>
      </w:r>
      <w:r w:rsidRPr="00C72557">
        <w:rPr>
          <w:rFonts w:ascii="Times New Roman" w:hAnsi="Times New Roman" w:cs="Times New Roman"/>
          <w:color w:val="000000" w:themeColor="text1"/>
          <w:sz w:val="20"/>
          <w:szCs w:val="20"/>
          <w:lang w:val="en-US"/>
        </w:rPr>
        <w:t>4</w:t>
      </w:r>
      <w:r w:rsidR="008F1E23">
        <w:rPr>
          <w:rFonts w:ascii="Times New Roman" w:hAnsi="Times New Roman" w:cs="Times New Roman"/>
          <w:color w:val="000000" w:themeColor="text1"/>
          <w:sz w:val="20"/>
          <w:szCs w:val="20"/>
          <w:lang w:val="en-US"/>
        </w:rPr>
        <w:t>.</w:t>
      </w:r>
    </w:p>
  </w:footnote>
  <w:footnote w:id="91">
    <w:p w14:paraId="5F6217B0" w14:textId="70BDFF5C" w:rsidR="00D4767B" w:rsidRPr="00C72557" w:rsidRDefault="00D4767B" w:rsidP="009A0EEE">
      <w:pPr>
        <w:rPr>
          <w:rFonts w:ascii="Times New Roman" w:eastAsia="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C72557">
        <w:rPr>
          <w:rFonts w:ascii="Times New Roman" w:eastAsia="Times New Roman" w:hAnsi="Times New Roman" w:cs="Times New Roman"/>
          <w:color w:val="000000" w:themeColor="text1"/>
          <w:sz w:val="20"/>
          <w:szCs w:val="20"/>
          <w:lang w:val="en-US"/>
        </w:rPr>
        <w:t xml:space="preserve">2020 WL </w:t>
      </w:r>
      <w:r w:rsidR="00D308A1" w:rsidRPr="002D7F3F">
        <w:rPr>
          <w:rFonts w:ascii="Times New Roman" w:eastAsia="Times New Roman" w:hAnsi="Times New Roman" w:cs="Times New Roman"/>
          <w:color w:val="000000" w:themeColor="text1"/>
          <w:sz w:val="20"/>
          <w:szCs w:val="20"/>
          <w:lang w:val="en-US"/>
        </w:rPr>
        <w:t>3970201</w:t>
      </w:r>
      <w:r w:rsidR="00D308A1" w:rsidRPr="002D7F3F">
        <w:rPr>
          <w:rFonts w:ascii="Times New Roman" w:eastAsia="Times New Roman" w:hAnsi="Times New Roman" w:cs="Times New Roman"/>
          <w:i/>
          <w:iCs/>
          <w:color w:val="000000" w:themeColor="text1"/>
          <w:sz w:val="20"/>
          <w:szCs w:val="20"/>
          <w:lang w:val="en-US"/>
        </w:rPr>
        <w:t> </w:t>
      </w:r>
      <w:r w:rsidR="00D308A1" w:rsidRPr="00C72557">
        <w:rPr>
          <w:rFonts w:ascii="Times New Roman" w:eastAsia="Times New Roman" w:hAnsi="Times New Roman" w:cs="Times New Roman"/>
          <w:color w:val="000000" w:themeColor="text1"/>
          <w:sz w:val="20"/>
          <w:szCs w:val="20"/>
          <w:lang w:val="en-US"/>
        </w:rPr>
        <w:t>(</w:t>
      </w:r>
      <w:r w:rsidRPr="00C72557">
        <w:rPr>
          <w:rFonts w:ascii="Times New Roman" w:eastAsia="Times New Roman" w:hAnsi="Times New Roman" w:cs="Times New Roman"/>
          <w:color w:val="000000" w:themeColor="text1"/>
          <w:sz w:val="20"/>
          <w:szCs w:val="20"/>
          <w:lang w:val="en-US"/>
        </w:rPr>
        <w:t xml:space="preserve">E.D. Cal. </w:t>
      </w:r>
      <w:r>
        <w:rPr>
          <w:rFonts w:ascii="Times New Roman" w:eastAsia="Times New Roman" w:hAnsi="Times New Roman" w:cs="Times New Roman"/>
          <w:color w:val="000000" w:themeColor="text1"/>
          <w:sz w:val="20"/>
          <w:szCs w:val="20"/>
          <w:lang w:val="en-US"/>
        </w:rPr>
        <w:t>July 14</w:t>
      </w:r>
      <w:r w:rsidRPr="00C72557">
        <w:rPr>
          <w:rFonts w:ascii="Times New Roman" w:eastAsia="Times New Roman" w:hAnsi="Times New Roman" w:cs="Times New Roman"/>
          <w:color w:val="000000" w:themeColor="text1"/>
          <w:sz w:val="20"/>
          <w:szCs w:val="20"/>
          <w:lang w:val="en-US"/>
        </w:rPr>
        <w:t>, 2020)</w:t>
      </w:r>
      <w:r w:rsidR="00D308A1">
        <w:rPr>
          <w:rFonts w:ascii="Times New Roman" w:eastAsia="Times New Roman" w:hAnsi="Times New Roman" w:cs="Times New Roman"/>
          <w:color w:val="000000" w:themeColor="text1"/>
          <w:sz w:val="20"/>
          <w:szCs w:val="20"/>
          <w:lang w:val="en-US"/>
        </w:rPr>
        <w:t>.</w:t>
      </w:r>
    </w:p>
  </w:footnote>
  <w:footnote w:id="92">
    <w:p w14:paraId="75BA2B94" w14:textId="0BC6E71F"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xml:space="preserve">. at </w:t>
      </w:r>
      <w:r w:rsidR="008F1E23">
        <w:rPr>
          <w:rFonts w:ascii="Times New Roman" w:hAnsi="Times New Roman" w:cs="Times New Roman"/>
          <w:color w:val="000000" w:themeColor="text1"/>
          <w:sz w:val="20"/>
          <w:szCs w:val="20"/>
          <w:lang w:val="en-US"/>
        </w:rPr>
        <w:t>*</w:t>
      </w:r>
      <w:r w:rsidRPr="00C72557">
        <w:rPr>
          <w:rFonts w:ascii="Times New Roman" w:hAnsi="Times New Roman" w:cs="Times New Roman"/>
          <w:color w:val="000000" w:themeColor="text1"/>
          <w:sz w:val="20"/>
          <w:szCs w:val="20"/>
          <w:lang w:val="en-US"/>
        </w:rPr>
        <w:t>2</w:t>
      </w:r>
      <w:r w:rsidR="008F1E23">
        <w:rPr>
          <w:rFonts w:ascii="Times New Roman" w:hAnsi="Times New Roman" w:cs="Times New Roman"/>
          <w:color w:val="000000" w:themeColor="text1"/>
          <w:sz w:val="20"/>
          <w:szCs w:val="20"/>
          <w:lang w:val="en-US"/>
        </w:rPr>
        <w:t>.</w:t>
      </w:r>
    </w:p>
  </w:footnote>
  <w:footnote w:id="93">
    <w:p w14:paraId="5FA0F0DD" w14:textId="689D3726"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xml:space="preserve">. at </w:t>
      </w:r>
      <w:r w:rsidR="008F1E23">
        <w:rPr>
          <w:rFonts w:ascii="Times New Roman" w:hAnsi="Times New Roman" w:cs="Times New Roman"/>
          <w:color w:val="000000" w:themeColor="text1"/>
          <w:sz w:val="20"/>
          <w:szCs w:val="20"/>
          <w:lang w:val="en-US"/>
        </w:rPr>
        <w:t>*</w:t>
      </w:r>
      <w:r w:rsidRPr="00C72557">
        <w:rPr>
          <w:rFonts w:ascii="Times New Roman" w:hAnsi="Times New Roman" w:cs="Times New Roman"/>
          <w:color w:val="000000" w:themeColor="text1"/>
          <w:sz w:val="20"/>
          <w:szCs w:val="20"/>
          <w:lang w:val="en-US"/>
        </w:rPr>
        <w:t>10</w:t>
      </w:r>
      <w:r w:rsidR="008F1E23">
        <w:rPr>
          <w:rFonts w:ascii="Times New Roman" w:hAnsi="Times New Roman" w:cs="Times New Roman"/>
          <w:color w:val="000000" w:themeColor="text1"/>
          <w:sz w:val="20"/>
          <w:szCs w:val="20"/>
          <w:lang w:val="en-US"/>
        </w:rPr>
        <w:t>.</w:t>
      </w:r>
    </w:p>
  </w:footnote>
  <w:footnote w:id="94">
    <w:p w14:paraId="34248F3F" w14:textId="4F7C5451"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xml:space="preserve">. </w:t>
      </w:r>
    </w:p>
  </w:footnote>
  <w:footnote w:id="95">
    <w:p w14:paraId="36477246" w14:textId="7259910E"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xml:space="preserve">. at </w:t>
      </w:r>
      <w:r w:rsidR="008F1E23">
        <w:rPr>
          <w:rFonts w:ascii="Times New Roman" w:hAnsi="Times New Roman" w:cs="Times New Roman"/>
          <w:color w:val="000000" w:themeColor="text1"/>
          <w:sz w:val="20"/>
          <w:szCs w:val="20"/>
          <w:lang w:val="en-US"/>
        </w:rPr>
        <w:t>*</w:t>
      </w:r>
      <w:r w:rsidRPr="00C72557">
        <w:rPr>
          <w:rFonts w:ascii="Times New Roman" w:hAnsi="Times New Roman" w:cs="Times New Roman"/>
          <w:color w:val="000000" w:themeColor="text1"/>
          <w:sz w:val="20"/>
          <w:szCs w:val="20"/>
          <w:lang w:val="en-US"/>
        </w:rPr>
        <w:t>11</w:t>
      </w:r>
      <w:r w:rsidR="008F1E23">
        <w:rPr>
          <w:rFonts w:ascii="Times New Roman" w:hAnsi="Times New Roman" w:cs="Times New Roman"/>
          <w:color w:val="000000" w:themeColor="text1"/>
          <w:sz w:val="20"/>
          <w:szCs w:val="20"/>
          <w:lang w:val="en-US"/>
        </w:rPr>
        <w:t>.</w:t>
      </w:r>
    </w:p>
  </w:footnote>
  <w:footnote w:id="96">
    <w:p w14:paraId="73AD75AF" w14:textId="61E1BB66"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xml:space="preserve"> </w:t>
      </w:r>
    </w:p>
  </w:footnote>
  <w:footnote w:id="97">
    <w:p w14:paraId="4C4E4B5A" w14:textId="7891D6B7" w:rsidR="00D4767B" w:rsidRPr="00C72557" w:rsidRDefault="00D4767B" w:rsidP="00B06523">
      <w:pPr>
        <w:rPr>
          <w:rFonts w:ascii="Times New Roman" w:eastAsia="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C72557">
        <w:rPr>
          <w:rFonts w:ascii="Times New Roman" w:eastAsia="Times New Roman" w:hAnsi="Times New Roman" w:cs="Times New Roman"/>
          <w:color w:val="000000" w:themeColor="text1"/>
          <w:sz w:val="20"/>
          <w:szCs w:val="20"/>
          <w:lang w:val="en-US"/>
        </w:rPr>
        <w:t>113 S.Ct. 2786 (S. Ct. June 28, 1993)</w:t>
      </w:r>
      <w:r w:rsidR="00D308A1">
        <w:rPr>
          <w:rFonts w:ascii="Times New Roman" w:eastAsia="Times New Roman" w:hAnsi="Times New Roman" w:cs="Times New Roman"/>
          <w:color w:val="000000" w:themeColor="text1"/>
          <w:sz w:val="20"/>
          <w:szCs w:val="20"/>
          <w:lang w:val="en-US"/>
        </w:rPr>
        <w:t>.</w:t>
      </w:r>
    </w:p>
  </w:footnote>
  <w:footnote w:id="98">
    <w:p w14:paraId="770D2509" w14:textId="5611DA4A"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https://www.law.cornell.edu/wex/daubert_standard</w:t>
      </w:r>
    </w:p>
  </w:footnote>
  <w:footnote w:id="99">
    <w:p w14:paraId="75B09251" w14:textId="2BDF2288"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C72557">
        <w:rPr>
          <w:rFonts w:ascii="Times New Roman" w:hAnsi="Times New Roman" w:cs="Times New Roman"/>
          <w:i/>
          <w:color w:val="000000" w:themeColor="text1"/>
          <w:sz w:val="20"/>
          <w:szCs w:val="20"/>
          <w:lang w:val="en-US"/>
        </w:rPr>
        <w:t>Rite Aid</w:t>
      </w:r>
      <w:r w:rsidRPr="00C72557">
        <w:rPr>
          <w:rFonts w:ascii="Times New Roman" w:hAnsi="Times New Roman" w:cs="Times New Roman"/>
          <w:color w:val="000000" w:themeColor="text1"/>
          <w:sz w:val="20"/>
          <w:szCs w:val="20"/>
          <w:lang w:val="en-US"/>
        </w:rPr>
        <w:t xml:space="preserve"> at 11</w:t>
      </w:r>
      <w:r w:rsidR="008F1E23">
        <w:rPr>
          <w:rFonts w:ascii="Times New Roman" w:hAnsi="Times New Roman" w:cs="Times New Roman"/>
          <w:color w:val="000000" w:themeColor="text1"/>
          <w:sz w:val="20"/>
          <w:szCs w:val="20"/>
          <w:lang w:val="en-US"/>
        </w:rPr>
        <w:t>.</w:t>
      </w:r>
    </w:p>
  </w:footnote>
  <w:footnote w:id="100">
    <w:p w14:paraId="6F2075E4" w14:textId="2A3C7328"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at 12</w:t>
      </w:r>
      <w:r w:rsidR="008F1E23">
        <w:rPr>
          <w:rFonts w:ascii="Times New Roman" w:hAnsi="Times New Roman" w:cs="Times New Roman"/>
          <w:color w:val="000000" w:themeColor="text1"/>
          <w:sz w:val="20"/>
          <w:szCs w:val="20"/>
          <w:lang w:val="en-US"/>
        </w:rPr>
        <w:t>.</w:t>
      </w:r>
    </w:p>
  </w:footnote>
  <w:footnote w:id="101">
    <w:p w14:paraId="78700974" w14:textId="37DDC73F"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w:t>
      </w:r>
    </w:p>
  </w:footnote>
  <w:footnote w:id="102">
    <w:p w14:paraId="659DDF40" w14:textId="536970D2" w:rsidR="00D4767B" w:rsidRPr="00C72557" w:rsidRDefault="00D4767B">
      <w:pPr>
        <w:pStyle w:val="FootnoteText"/>
        <w:rPr>
          <w:rFonts w:ascii="Times New Roman" w:hAnsi="Times New Roman" w:cs="Times New Roman"/>
          <w:color w:val="000000" w:themeColor="text1"/>
          <w:sz w:val="20"/>
          <w:szCs w:val="20"/>
          <w:lang w:val="en-US"/>
        </w:rPr>
      </w:pPr>
      <w:r w:rsidRPr="00C72557">
        <w:rPr>
          <w:rStyle w:val="FootnoteReference"/>
          <w:rFonts w:ascii="Times New Roman" w:hAnsi="Times New Roman" w:cs="Times New Roman"/>
          <w:color w:val="000000" w:themeColor="text1"/>
          <w:sz w:val="20"/>
          <w:szCs w:val="20"/>
        </w:rPr>
        <w:footnoteRef/>
      </w:r>
      <w:r w:rsidRPr="00C72557">
        <w:rPr>
          <w:rFonts w:ascii="Times New Roman" w:hAnsi="Times New Roman" w:cs="Times New Roman"/>
          <w:color w:val="000000" w:themeColor="text1"/>
          <w:sz w:val="20"/>
          <w:szCs w:val="20"/>
        </w:rPr>
        <w:t xml:space="preserve"> </w:t>
      </w:r>
      <w:r w:rsidRPr="001261E1">
        <w:rPr>
          <w:rFonts w:ascii="Times New Roman" w:hAnsi="Times New Roman" w:cs="Times New Roman"/>
          <w:i/>
          <w:color w:val="000000" w:themeColor="text1"/>
          <w:sz w:val="20"/>
          <w:szCs w:val="20"/>
          <w:lang w:val="en-US"/>
        </w:rPr>
        <w:t>Id</w:t>
      </w:r>
      <w:r w:rsidRPr="00C72557">
        <w:rPr>
          <w:rFonts w:ascii="Times New Roman" w:hAnsi="Times New Roman" w:cs="Times New Roman"/>
          <w:color w:val="000000" w:themeColor="text1"/>
          <w:sz w:val="20"/>
          <w:szCs w:val="20"/>
          <w:lang w:val="en-US"/>
        </w:rPr>
        <w:t xml:space="preserve">. </w:t>
      </w:r>
    </w:p>
  </w:footnote>
  <w:footnote w:id="103">
    <w:p w14:paraId="332605DC" w14:textId="0DE73540" w:rsidR="00D4767B" w:rsidRPr="001261E1" w:rsidRDefault="00D4767B">
      <w:pPr>
        <w:pStyle w:val="FootnoteText"/>
        <w:rPr>
          <w:rFonts w:ascii="Times New Roman" w:hAnsi="Times New Roman" w:cs="Times New Roman"/>
          <w:sz w:val="20"/>
          <w:szCs w:val="20"/>
          <w:lang w:val="en-US"/>
        </w:rPr>
      </w:pPr>
      <w:r w:rsidRPr="001261E1">
        <w:rPr>
          <w:rStyle w:val="FootnoteReference"/>
          <w:rFonts w:ascii="Times New Roman" w:hAnsi="Times New Roman" w:cs="Times New Roman"/>
          <w:sz w:val="20"/>
          <w:szCs w:val="20"/>
        </w:rPr>
        <w:footnoteRef/>
      </w:r>
      <w:r w:rsidRPr="001261E1">
        <w:rPr>
          <w:rFonts w:ascii="Times New Roman" w:hAnsi="Times New Roman" w:cs="Times New Roman"/>
          <w:sz w:val="20"/>
          <w:szCs w:val="20"/>
        </w:rPr>
        <w:t xml:space="preserve"> </w:t>
      </w:r>
      <w:r w:rsidRPr="001261E1">
        <w:rPr>
          <w:rFonts w:ascii="Times New Roman" w:hAnsi="Times New Roman" w:cs="Times New Roman"/>
          <w:i/>
          <w:sz w:val="20"/>
          <w:szCs w:val="20"/>
          <w:lang w:val="en-US"/>
        </w:rPr>
        <w:t xml:space="preserve">Swift v. United States, </w:t>
      </w:r>
      <w:r w:rsidRPr="001261E1">
        <w:rPr>
          <w:rFonts w:ascii="Times New Roman" w:hAnsi="Times New Roman" w:cs="Times New Roman"/>
          <w:sz w:val="20"/>
          <w:szCs w:val="20"/>
        </w:rPr>
        <w:t>318 F.3d 250 (D.C. Cir. Feb. 11, 2003)</w:t>
      </w:r>
      <w:r w:rsidR="00D308A1">
        <w:rPr>
          <w:rFonts w:ascii="Times New Roman" w:hAnsi="Times New Roman" w:cs="Times New Roman"/>
          <w:sz w:val="20"/>
          <w:szCs w:val="20"/>
        </w:rPr>
        <w:t>.</w:t>
      </w:r>
    </w:p>
  </w:footnote>
  <w:footnote w:id="104">
    <w:p w14:paraId="70FD9ABC" w14:textId="79F29B02" w:rsidR="00D4767B" w:rsidRPr="001261E1" w:rsidRDefault="00D4767B">
      <w:pPr>
        <w:pStyle w:val="FootnoteText"/>
        <w:rPr>
          <w:rFonts w:ascii="Times New Roman" w:hAnsi="Times New Roman" w:cs="Times New Roman"/>
          <w:i/>
          <w:sz w:val="20"/>
          <w:szCs w:val="20"/>
          <w:lang w:val="en-US"/>
        </w:rPr>
      </w:pPr>
      <w:r w:rsidRPr="001261E1">
        <w:rPr>
          <w:rStyle w:val="FootnoteReference"/>
          <w:rFonts w:ascii="Times New Roman" w:hAnsi="Times New Roman" w:cs="Times New Roman"/>
          <w:i/>
          <w:sz w:val="20"/>
          <w:szCs w:val="20"/>
        </w:rPr>
        <w:footnoteRef/>
      </w:r>
      <w:r w:rsidRPr="001261E1">
        <w:rPr>
          <w:rFonts w:ascii="Times New Roman" w:hAnsi="Times New Roman" w:cs="Times New Roman"/>
          <w:i/>
          <w:sz w:val="20"/>
          <w:szCs w:val="20"/>
        </w:rPr>
        <w:t xml:space="preserve"> </w:t>
      </w:r>
      <w:r w:rsidRPr="001261E1">
        <w:rPr>
          <w:rFonts w:ascii="Times New Roman" w:hAnsi="Times New Roman" w:cs="Times New Roman"/>
          <w:i/>
          <w:sz w:val="20"/>
          <w:szCs w:val="20"/>
          <w:lang w:val="en-US"/>
        </w:rPr>
        <w:t xml:space="preserve">United States ex rel. Sequoia Orange v. Baird-Neece Packing Corp., </w:t>
      </w:r>
      <w:r w:rsidRPr="001261E1">
        <w:rPr>
          <w:rFonts w:ascii="Times New Roman" w:hAnsi="Times New Roman" w:cs="Times New Roman"/>
          <w:sz w:val="20"/>
          <w:szCs w:val="20"/>
        </w:rPr>
        <w:t>151 F.3d 1139 (9th Cir. 1997)</w:t>
      </w:r>
      <w:r w:rsidR="00D308A1">
        <w:rPr>
          <w:rFonts w:ascii="Times New Roman" w:hAnsi="Times New Roman" w:cs="Times New Roman"/>
          <w:sz w:val="20"/>
          <w:szCs w:val="20"/>
        </w:rPr>
        <w:t>.</w:t>
      </w:r>
    </w:p>
  </w:footnote>
  <w:footnote w:id="105">
    <w:p w14:paraId="00000037" w14:textId="6B3195DB" w:rsidR="00D4767B" w:rsidRPr="00C72557" w:rsidRDefault="00D4767B">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968 F.3d 996 (9th Cir. Aug. 4, 2020)</w:t>
      </w:r>
      <w:r w:rsidR="00D308A1">
        <w:rPr>
          <w:rFonts w:ascii="Times New Roman" w:eastAsia="Times New Roman" w:hAnsi="Times New Roman" w:cs="Times New Roman"/>
          <w:color w:val="000000" w:themeColor="text1"/>
          <w:sz w:val="20"/>
          <w:szCs w:val="20"/>
        </w:rPr>
        <w:t>.</w:t>
      </w:r>
    </w:p>
  </w:footnote>
  <w:footnote w:id="106">
    <w:p w14:paraId="00000036" w14:textId="33B571AE" w:rsidR="00D4767B" w:rsidRPr="00C72557" w:rsidRDefault="00D4767B">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1008.</w:t>
      </w:r>
    </w:p>
  </w:footnote>
  <w:footnote w:id="107">
    <w:p w14:paraId="00000038" w14:textId="299B9AC2" w:rsidR="00D4767B" w:rsidRPr="00C72557" w:rsidRDefault="00D4767B">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xml:space="preserve">. at 1009. </w:t>
      </w:r>
    </w:p>
  </w:footnote>
  <w:footnote w:id="108">
    <w:p w14:paraId="14B50A65" w14:textId="684EF5C2" w:rsidR="00D4767B" w:rsidRPr="00C72557" w:rsidRDefault="00D4767B" w:rsidP="004E37D4">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970 F.3d 835 (7th Cir. Aug. 17, 2020)</w:t>
      </w:r>
      <w:r w:rsidR="00D308A1">
        <w:rPr>
          <w:rFonts w:ascii="Times New Roman" w:eastAsia="Times New Roman" w:hAnsi="Times New Roman" w:cs="Times New Roman"/>
          <w:color w:val="000000" w:themeColor="text1"/>
          <w:sz w:val="20"/>
          <w:szCs w:val="20"/>
        </w:rPr>
        <w:t>.</w:t>
      </w:r>
    </w:p>
  </w:footnote>
  <w:footnote w:id="109">
    <w:p w14:paraId="0000003C" w14:textId="1F3E61CF" w:rsidR="00D4767B" w:rsidRPr="00C72557" w:rsidRDefault="00D4767B">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1261E1">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840.</w:t>
      </w:r>
    </w:p>
  </w:footnote>
  <w:footnote w:id="110">
    <w:p w14:paraId="00000061" w14:textId="43FA70AC" w:rsidR="00D4767B" w:rsidRPr="00C72557" w:rsidRDefault="00D4767B">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963 F.3d </w:t>
      </w:r>
      <w:r w:rsidR="00D308A1" w:rsidRPr="00C72557">
        <w:rPr>
          <w:rFonts w:ascii="Times New Roman" w:eastAsia="Times New Roman" w:hAnsi="Times New Roman" w:cs="Times New Roman"/>
          <w:color w:val="000000" w:themeColor="text1"/>
          <w:sz w:val="20"/>
          <w:szCs w:val="20"/>
        </w:rPr>
        <w:t>1089 (</w:t>
      </w:r>
      <w:r w:rsidRPr="00C72557">
        <w:rPr>
          <w:rFonts w:ascii="Times New Roman" w:eastAsia="Times New Roman" w:hAnsi="Times New Roman" w:cs="Times New Roman"/>
          <w:color w:val="000000" w:themeColor="text1"/>
          <w:sz w:val="20"/>
          <w:szCs w:val="20"/>
        </w:rPr>
        <w:t>11th Cir. June 25, 2020)</w:t>
      </w:r>
      <w:r w:rsidR="00D308A1">
        <w:rPr>
          <w:rFonts w:ascii="Times New Roman" w:eastAsia="Times New Roman" w:hAnsi="Times New Roman" w:cs="Times New Roman"/>
          <w:color w:val="000000" w:themeColor="text1"/>
          <w:sz w:val="20"/>
          <w:szCs w:val="20"/>
        </w:rPr>
        <w:t>.</w:t>
      </w:r>
    </w:p>
  </w:footnote>
  <w:footnote w:id="111">
    <w:p w14:paraId="00000062" w14:textId="50975C3C" w:rsidR="00D4767B" w:rsidRPr="00C72557" w:rsidRDefault="00D4767B">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B367DA">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1097.</w:t>
      </w:r>
    </w:p>
  </w:footnote>
  <w:footnote w:id="112">
    <w:p w14:paraId="00000063" w14:textId="64732B7F" w:rsidR="00D4767B" w:rsidRPr="00C72557" w:rsidRDefault="00D4767B">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B367DA">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xml:space="preserve">. at 1101. </w:t>
      </w:r>
    </w:p>
  </w:footnote>
  <w:footnote w:id="113">
    <w:p w14:paraId="1F270DCF" w14:textId="77777777" w:rsidR="00BF524D" w:rsidRDefault="00BF524D"/>
  </w:footnote>
  <w:footnote w:id="114">
    <w:p w14:paraId="00000068" w14:textId="112DB3B2" w:rsidR="00D4767B" w:rsidRPr="00C72557" w:rsidRDefault="00D4767B">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B367DA">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at 1101.</w:t>
      </w:r>
    </w:p>
  </w:footnote>
  <w:footnote w:id="115">
    <w:p w14:paraId="00000065" w14:textId="52B62EB6" w:rsidR="00D4767B" w:rsidRPr="00C72557" w:rsidRDefault="00D4767B">
      <w:pPr>
        <w:spacing w:line="240" w:lineRule="auto"/>
        <w:rPr>
          <w:rFonts w:ascii="Times New Roman" w:eastAsia="Times New Roman" w:hAnsi="Times New Roman" w:cs="Times New Roman"/>
          <w:color w:val="000000" w:themeColor="text1"/>
          <w:sz w:val="20"/>
          <w:szCs w:val="20"/>
        </w:rPr>
      </w:pPr>
      <w:r w:rsidRPr="00C72557">
        <w:rPr>
          <w:rFonts w:ascii="Times New Roman" w:hAnsi="Times New Roman" w:cs="Times New Roman"/>
          <w:color w:val="000000" w:themeColor="text1"/>
          <w:sz w:val="20"/>
          <w:szCs w:val="20"/>
          <w:vertAlign w:val="superscript"/>
        </w:rPr>
        <w:footnoteRef/>
      </w:r>
      <w:r w:rsidRPr="00C72557">
        <w:rPr>
          <w:rFonts w:ascii="Times New Roman" w:eastAsia="Times New Roman" w:hAnsi="Times New Roman" w:cs="Times New Roman"/>
          <w:color w:val="000000" w:themeColor="text1"/>
          <w:sz w:val="20"/>
          <w:szCs w:val="20"/>
        </w:rPr>
        <w:t xml:space="preserve"> </w:t>
      </w:r>
      <w:r w:rsidRPr="00B367DA">
        <w:rPr>
          <w:rFonts w:ascii="Times New Roman" w:eastAsia="Times New Roman" w:hAnsi="Times New Roman" w:cs="Times New Roman"/>
          <w:i/>
          <w:color w:val="000000" w:themeColor="text1"/>
          <w:sz w:val="20"/>
          <w:szCs w:val="20"/>
        </w:rPr>
        <w:t>Id</w:t>
      </w:r>
      <w:r w:rsidRPr="00C72557">
        <w:rPr>
          <w:rFonts w:ascii="Times New Roman" w:eastAsia="Times New Roman" w:hAnsi="Times New Roman" w:cs="Times New Roman"/>
          <w:color w:val="000000" w:themeColor="text1"/>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5C35"/>
    <w:multiLevelType w:val="hybridMultilevel"/>
    <w:tmpl w:val="FDA08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F0C93"/>
    <w:multiLevelType w:val="hybridMultilevel"/>
    <w:tmpl w:val="36A835B8"/>
    <w:lvl w:ilvl="0" w:tplc="4F90DB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A4279"/>
    <w:multiLevelType w:val="multilevel"/>
    <w:tmpl w:val="DCB23E1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5B404D4"/>
    <w:multiLevelType w:val="hybridMultilevel"/>
    <w:tmpl w:val="AE9E8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FC7231"/>
    <w:multiLevelType w:val="hybridMultilevel"/>
    <w:tmpl w:val="C0EEE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1373A5"/>
    <w:multiLevelType w:val="hybridMultilevel"/>
    <w:tmpl w:val="DFC4E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2B2684"/>
    <w:multiLevelType w:val="hybridMultilevel"/>
    <w:tmpl w:val="AB929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EB"/>
    <w:rsid w:val="00005FB5"/>
    <w:rsid w:val="000306D9"/>
    <w:rsid w:val="00036809"/>
    <w:rsid w:val="000C1C4A"/>
    <w:rsid w:val="000F593B"/>
    <w:rsid w:val="001214E0"/>
    <w:rsid w:val="001261E1"/>
    <w:rsid w:val="0013472A"/>
    <w:rsid w:val="00144F00"/>
    <w:rsid w:val="00154182"/>
    <w:rsid w:val="001566E8"/>
    <w:rsid w:val="001647A1"/>
    <w:rsid w:val="001662B4"/>
    <w:rsid w:val="00167FFE"/>
    <w:rsid w:val="00174A64"/>
    <w:rsid w:val="00174B94"/>
    <w:rsid w:val="00184490"/>
    <w:rsid w:val="001A5380"/>
    <w:rsid w:val="001B37CD"/>
    <w:rsid w:val="001D768C"/>
    <w:rsid w:val="001E345F"/>
    <w:rsid w:val="001F04A2"/>
    <w:rsid w:val="00201400"/>
    <w:rsid w:val="00206724"/>
    <w:rsid w:val="00213E95"/>
    <w:rsid w:val="00221E15"/>
    <w:rsid w:val="00252FD4"/>
    <w:rsid w:val="0028232C"/>
    <w:rsid w:val="002A113A"/>
    <w:rsid w:val="002C194F"/>
    <w:rsid w:val="002D7F3F"/>
    <w:rsid w:val="00304123"/>
    <w:rsid w:val="00324562"/>
    <w:rsid w:val="0033250F"/>
    <w:rsid w:val="00365773"/>
    <w:rsid w:val="00394636"/>
    <w:rsid w:val="003A0293"/>
    <w:rsid w:val="003F6D4F"/>
    <w:rsid w:val="004137FB"/>
    <w:rsid w:val="00437120"/>
    <w:rsid w:val="004437B4"/>
    <w:rsid w:val="00453B0C"/>
    <w:rsid w:val="004623CB"/>
    <w:rsid w:val="00472253"/>
    <w:rsid w:val="00490C28"/>
    <w:rsid w:val="0049511D"/>
    <w:rsid w:val="004A2539"/>
    <w:rsid w:val="004B520F"/>
    <w:rsid w:val="004E37D4"/>
    <w:rsid w:val="004E5F4E"/>
    <w:rsid w:val="004F0921"/>
    <w:rsid w:val="00545BDE"/>
    <w:rsid w:val="005507DE"/>
    <w:rsid w:val="00552B71"/>
    <w:rsid w:val="00570B6B"/>
    <w:rsid w:val="00571BB8"/>
    <w:rsid w:val="005B0A98"/>
    <w:rsid w:val="005D21A0"/>
    <w:rsid w:val="005E25CE"/>
    <w:rsid w:val="005F10E4"/>
    <w:rsid w:val="005F53A8"/>
    <w:rsid w:val="006149D4"/>
    <w:rsid w:val="006362C1"/>
    <w:rsid w:val="00645E5E"/>
    <w:rsid w:val="00670380"/>
    <w:rsid w:val="00675801"/>
    <w:rsid w:val="00697A85"/>
    <w:rsid w:val="006A3B00"/>
    <w:rsid w:val="006D5AB4"/>
    <w:rsid w:val="006E6BE1"/>
    <w:rsid w:val="006F4AC7"/>
    <w:rsid w:val="007176E8"/>
    <w:rsid w:val="00751F2E"/>
    <w:rsid w:val="007853B9"/>
    <w:rsid w:val="007E2428"/>
    <w:rsid w:val="008061D4"/>
    <w:rsid w:val="008074DC"/>
    <w:rsid w:val="0081456E"/>
    <w:rsid w:val="008253BD"/>
    <w:rsid w:val="008440D4"/>
    <w:rsid w:val="00861AF4"/>
    <w:rsid w:val="00862B9E"/>
    <w:rsid w:val="0086393E"/>
    <w:rsid w:val="00874037"/>
    <w:rsid w:val="008837EB"/>
    <w:rsid w:val="00884F69"/>
    <w:rsid w:val="00890D9D"/>
    <w:rsid w:val="00896125"/>
    <w:rsid w:val="00896AC2"/>
    <w:rsid w:val="008B4B3A"/>
    <w:rsid w:val="008C4619"/>
    <w:rsid w:val="008C728F"/>
    <w:rsid w:val="008E3431"/>
    <w:rsid w:val="008F1E23"/>
    <w:rsid w:val="008F7463"/>
    <w:rsid w:val="00911C15"/>
    <w:rsid w:val="009164A0"/>
    <w:rsid w:val="00934774"/>
    <w:rsid w:val="00965F31"/>
    <w:rsid w:val="00972374"/>
    <w:rsid w:val="009774FF"/>
    <w:rsid w:val="009A0EEE"/>
    <w:rsid w:val="009C6F33"/>
    <w:rsid w:val="009C7EA4"/>
    <w:rsid w:val="009E58C5"/>
    <w:rsid w:val="009E5C72"/>
    <w:rsid w:val="00A0710A"/>
    <w:rsid w:val="00A1409D"/>
    <w:rsid w:val="00A31FD4"/>
    <w:rsid w:val="00A34542"/>
    <w:rsid w:val="00A64918"/>
    <w:rsid w:val="00A8094B"/>
    <w:rsid w:val="00AA70EC"/>
    <w:rsid w:val="00AC7378"/>
    <w:rsid w:val="00AF007E"/>
    <w:rsid w:val="00B01382"/>
    <w:rsid w:val="00B056BF"/>
    <w:rsid w:val="00B06053"/>
    <w:rsid w:val="00B06523"/>
    <w:rsid w:val="00B26B4F"/>
    <w:rsid w:val="00B344B9"/>
    <w:rsid w:val="00B367DA"/>
    <w:rsid w:val="00B37A84"/>
    <w:rsid w:val="00B423A8"/>
    <w:rsid w:val="00B453EE"/>
    <w:rsid w:val="00B51117"/>
    <w:rsid w:val="00B518C5"/>
    <w:rsid w:val="00B74C69"/>
    <w:rsid w:val="00B85B4A"/>
    <w:rsid w:val="00B903EE"/>
    <w:rsid w:val="00BA5325"/>
    <w:rsid w:val="00BB0923"/>
    <w:rsid w:val="00BD380C"/>
    <w:rsid w:val="00BE6A86"/>
    <w:rsid w:val="00BF524D"/>
    <w:rsid w:val="00C03027"/>
    <w:rsid w:val="00C17B31"/>
    <w:rsid w:val="00C72557"/>
    <w:rsid w:val="00C85269"/>
    <w:rsid w:val="00C943D2"/>
    <w:rsid w:val="00CD377E"/>
    <w:rsid w:val="00CF49E8"/>
    <w:rsid w:val="00D27BB4"/>
    <w:rsid w:val="00D308A1"/>
    <w:rsid w:val="00D43EFE"/>
    <w:rsid w:val="00D44896"/>
    <w:rsid w:val="00D4767B"/>
    <w:rsid w:val="00D507B4"/>
    <w:rsid w:val="00D5137C"/>
    <w:rsid w:val="00D645CF"/>
    <w:rsid w:val="00D83E2D"/>
    <w:rsid w:val="00DA7965"/>
    <w:rsid w:val="00DB0E1D"/>
    <w:rsid w:val="00DD2271"/>
    <w:rsid w:val="00DD4BFB"/>
    <w:rsid w:val="00DE2357"/>
    <w:rsid w:val="00DF03CE"/>
    <w:rsid w:val="00E30504"/>
    <w:rsid w:val="00E518D1"/>
    <w:rsid w:val="00E658B2"/>
    <w:rsid w:val="00E65E36"/>
    <w:rsid w:val="00E6789A"/>
    <w:rsid w:val="00EA36E8"/>
    <w:rsid w:val="00EB55D9"/>
    <w:rsid w:val="00EB6605"/>
    <w:rsid w:val="00EE0BF2"/>
    <w:rsid w:val="00F10AB3"/>
    <w:rsid w:val="00F57259"/>
    <w:rsid w:val="00F63BCE"/>
    <w:rsid w:val="00F83E55"/>
    <w:rsid w:val="00FB0688"/>
    <w:rsid w:val="00FD6661"/>
    <w:rsid w:val="00FF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C6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Footer">
    <w:name w:val="footer"/>
    <w:basedOn w:val="Normal"/>
    <w:link w:val="FooterChar"/>
    <w:uiPriority w:val="99"/>
    <w:unhideWhenUsed/>
    <w:rsid w:val="00EA36E8"/>
    <w:pPr>
      <w:tabs>
        <w:tab w:val="center" w:pos="4680"/>
        <w:tab w:val="right" w:pos="9360"/>
      </w:tabs>
      <w:spacing w:line="240" w:lineRule="auto"/>
    </w:pPr>
  </w:style>
  <w:style w:type="character" w:customStyle="1" w:styleId="FooterChar">
    <w:name w:val="Footer Char"/>
    <w:basedOn w:val="DefaultParagraphFont"/>
    <w:link w:val="Footer"/>
    <w:uiPriority w:val="99"/>
    <w:rsid w:val="00EA36E8"/>
  </w:style>
  <w:style w:type="character" w:styleId="PageNumber">
    <w:name w:val="page number"/>
    <w:basedOn w:val="DefaultParagraphFont"/>
    <w:uiPriority w:val="99"/>
    <w:semiHidden/>
    <w:unhideWhenUsed/>
    <w:rsid w:val="00EA36E8"/>
  </w:style>
  <w:style w:type="paragraph" w:styleId="Header">
    <w:name w:val="header"/>
    <w:basedOn w:val="Normal"/>
    <w:link w:val="HeaderChar"/>
    <w:uiPriority w:val="99"/>
    <w:unhideWhenUsed/>
    <w:rsid w:val="00EA36E8"/>
    <w:pPr>
      <w:tabs>
        <w:tab w:val="center" w:pos="4680"/>
        <w:tab w:val="right" w:pos="9360"/>
      </w:tabs>
      <w:spacing w:line="240" w:lineRule="auto"/>
    </w:pPr>
  </w:style>
  <w:style w:type="character" w:customStyle="1" w:styleId="HeaderChar">
    <w:name w:val="Header Char"/>
    <w:basedOn w:val="DefaultParagraphFont"/>
    <w:link w:val="Header"/>
    <w:uiPriority w:val="99"/>
    <w:rsid w:val="00EA36E8"/>
  </w:style>
  <w:style w:type="paragraph" w:styleId="FootnoteText">
    <w:name w:val="footnote text"/>
    <w:basedOn w:val="Normal"/>
    <w:link w:val="FootnoteTextChar"/>
    <w:uiPriority w:val="99"/>
    <w:unhideWhenUsed/>
    <w:rsid w:val="005D21A0"/>
    <w:pPr>
      <w:spacing w:line="240" w:lineRule="auto"/>
    </w:pPr>
    <w:rPr>
      <w:sz w:val="24"/>
      <w:szCs w:val="24"/>
    </w:rPr>
  </w:style>
  <w:style w:type="character" w:customStyle="1" w:styleId="FootnoteTextChar">
    <w:name w:val="Footnote Text Char"/>
    <w:basedOn w:val="DefaultParagraphFont"/>
    <w:link w:val="FootnoteText"/>
    <w:uiPriority w:val="99"/>
    <w:rsid w:val="005D21A0"/>
    <w:rPr>
      <w:sz w:val="24"/>
      <w:szCs w:val="24"/>
    </w:rPr>
  </w:style>
  <w:style w:type="character" w:styleId="FootnoteReference">
    <w:name w:val="footnote reference"/>
    <w:basedOn w:val="DefaultParagraphFont"/>
    <w:uiPriority w:val="99"/>
    <w:unhideWhenUsed/>
    <w:rsid w:val="005D21A0"/>
    <w:rPr>
      <w:vertAlign w:val="superscript"/>
    </w:rPr>
  </w:style>
  <w:style w:type="paragraph" w:styleId="ListParagraph">
    <w:name w:val="List Paragraph"/>
    <w:basedOn w:val="Normal"/>
    <w:uiPriority w:val="34"/>
    <w:qFormat/>
    <w:rsid w:val="008C728F"/>
    <w:pPr>
      <w:ind w:left="720"/>
      <w:contextualSpacing/>
    </w:pPr>
  </w:style>
  <w:style w:type="character" w:styleId="Hyperlink">
    <w:name w:val="Hyperlink"/>
    <w:basedOn w:val="DefaultParagraphFont"/>
    <w:uiPriority w:val="99"/>
    <w:unhideWhenUsed/>
    <w:rsid w:val="00AF007E"/>
    <w:rPr>
      <w:color w:val="0000FF" w:themeColor="hyperlink"/>
      <w:u w:val="single"/>
    </w:rPr>
  </w:style>
  <w:style w:type="paragraph" w:styleId="NoSpacing">
    <w:name w:val="No Spacing"/>
    <w:link w:val="NoSpacingChar"/>
    <w:uiPriority w:val="1"/>
    <w:qFormat/>
    <w:rsid w:val="00394636"/>
    <w:pPr>
      <w:spacing w:line="240" w:lineRule="auto"/>
    </w:pPr>
    <w:rPr>
      <w:rFonts w:asciiTheme="minorHAnsi" w:eastAsiaTheme="minorEastAsia" w:hAnsiTheme="minorHAnsi" w:cstheme="minorBidi"/>
      <w:lang w:val="en-US" w:eastAsia="zh-CN"/>
    </w:rPr>
  </w:style>
  <w:style w:type="character" w:customStyle="1" w:styleId="NoSpacingChar">
    <w:name w:val="No Spacing Char"/>
    <w:basedOn w:val="DefaultParagraphFont"/>
    <w:link w:val="NoSpacing"/>
    <w:uiPriority w:val="1"/>
    <w:rsid w:val="00394636"/>
    <w:rPr>
      <w:rFonts w:asciiTheme="minorHAnsi" w:eastAsiaTheme="minorEastAsia" w:hAnsiTheme="minorHAnsi" w:cstheme="minorBidi"/>
      <w:lang w:val="en-US" w:eastAsia="zh-CN"/>
    </w:rPr>
  </w:style>
  <w:style w:type="paragraph" w:styleId="BalloonText">
    <w:name w:val="Balloon Text"/>
    <w:basedOn w:val="Normal"/>
    <w:link w:val="BalloonTextChar"/>
    <w:uiPriority w:val="99"/>
    <w:semiHidden/>
    <w:unhideWhenUsed/>
    <w:rsid w:val="004371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120"/>
    <w:rPr>
      <w:rFonts w:ascii="Segoe UI" w:hAnsi="Segoe UI" w:cs="Segoe UI"/>
      <w:sz w:val="18"/>
      <w:szCs w:val="18"/>
    </w:rPr>
  </w:style>
  <w:style w:type="character" w:styleId="UnresolvedMention">
    <w:name w:val="Unresolved Mention"/>
    <w:basedOn w:val="DefaultParagraphFont"/>
    <w:uiPriority w:val="99"/>
    <w:rsid w:val="00F83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1693">
      <w:bodyDiv w:val="1"/>
      <w:marLeft w:val="0"/>
      <w:marRight w:val="0"/>
      <w:marTop w:val="0"/>
      <w:marBottom w:val="0"/>
      <w:divBdr>
        <w:top w:val="none" w:sz="0" w:space="0" w:color="auto"/>
        <w:left w:val="none" w:sz="0" w:space="0" w:color="auto"/>
        <w:bottom w:val="none" w:sz="0" w:space="0" w:color="auto"/>
        <w:right w:val="none" w:sz="0" w:space="0" w:color="auto"/>
      </w:divBdr>
    </w:div>
    <w:div w:id="32508855">
      <w:bodyDiv w:val="1"/>
      <w:marLeft w:val="0"/>
      <w:marRight w:val="0"/>
      <w:marTop w:val="0"/>
      <w:marBottom w:val="0"/>
      <w:divBdr>
        <w:top w:val="none" w:sz="0" w:space="0" w:color="auto"/>
        <w:left w:val="none" w:sz="0" w:space="0" w:color="auto"/>
        <w:bottom w:val="none" w:sz="0" w:space="0" w:color="auto"/>
        <w:right w:val="none" w:sz="0" w:space="0" w:color="auto"/>
      </w:divBdr>
    </w:div>
    <w:div w:id="38630197">
      <w:bodyDiv w:val="1"/>
      <w:marLeft w:val="0"/>
      <w:marRight w:val="0"/>
      <w:marTop w:val="0"/>
      <w:marBottom w:val="0"/>
      <w:divBdr>
        <w:top w:val="none" w:sz="0" w:space="0" w:color="auto"/>
        <w:left w:val="none" w:sz="0" w:space="0" w:color="auto"/>
        <w:bottom w:val="none" w:sz="0" w:space="0" w:color="auto"/>
        <w:right w:val="none" w:sz="0" w:space="0" w:color="auto"/>
      </w:divBdr>
    </w:div>
    <w:div w:id="50276693">
      <w:bodyDiv w:val="1"/>
      <w:marLeft w:val="0"/>
      <w:marRight w:val="0"/>
      <w:marTop w:val="0"/>
      <w:marBottom w:val="0"/>
      <w:divBdr>
        <w:top w:val="none" w:sz="0" w:space="0" w:color="auto"/>
        <w:left w:val="none" w:sz="0" w:space="0" w:color="auto"/>
        <w:bottom w:val="none" w:sz="0" w:space="0" w:color="auto"/>
        <w:right w:val="none" w:sz="0" w:space="0" w:color="auto"/>
      </w:divBdr>
    </w:div>
    <w:div w:id="127280822">
      <w:bodyDiv w:val="1"/>
      <w:marLeft w:val="0"/>
      <w:marRight w:val="0"/>
      <w:marTop w:val="0"/>
      <w:marBottom w:val="0"/>
      <w:divBdr>
        <w:top w:val="none" w:sz="0" w:space="0" w:color="auto"/>
        <w:left w:val="none" w:sz="0" w:space="0" w:color="auto"/>
        <w:bottom w:val="none" w:sz="0" w:space="0" w:color="auto"/>
        <w:right w:val="none" w:sz="0" w:space="0" w:color="auto"/>
      </w:divBdr>
    </w:div>
    <w:div w:id="139619173">
      <w:bodyDiv w:val="1"/>
      <w:marLeft w:val="0"/>
      <w:marRight w:val="0"/>
      <w:marTop w:val="0"/>
      <w:marBottom w:val="0"/>
      <w:divBdr>
        <w:top w:val="none" w:sz="0" w:space="0" w:color="auto"/>
        <w:left w:val="none" w:sz="0" w:space="0" w:color="auto"/>
        <w:bottom w:val="none" w:sz="0" w:space="0" w:color="auto"/>
        <w:right w:val="none" w:sz="0" w:space="0" w:color="auto"/>
      </w:divBdr>
    </w:div>
    <w:div w:id="152794391">
      <w:bodyDiv w:val="1"/>
      <w:marLeft w:val="0"/>
      <w:marRight w:val="0"/>
      <w:marTop w:val="0"/>
      <w:marBottom w:val="0"/>
      <w:divBdr>
        <w:top w:val="none" w:sz="0" w:space="0" w:color="auto"/>
        <w:left w:val="none" w:sz="0" w:space="0" w:color="auto"/>
        <w:bottom w:val="none" w:sz="0" w:space="0" w:color="auto"/>
        <w:right w:val="none" w:sz="0" w:space="0" w:color="auto"/>
      </w:divBdr>
    </w:div>
    <w:div w:id="214779742">
      <w:bodyDiv w:val="1"/>
      <w:marLeft w:val="0"/>
      <w:marRight w:val="0"/>
      <w:marTop w:val="0"/>
      <w:marBottom w:val="0"/>
      <w:divBdr>
        <w:top w:val="none" w:sz="0" w:space="0" w:color="auto"/>
        <w:left w:val="none" w:sz="0" w:space="0" w:color="auto"/>
        <w:bottom w:val="none" w:sz="0" w:space="0" w:color="auto"/>
        <w:right w:val="none" w:sz="0" w:space="0" w:color="auto"/>
      </w:divBdr>
    </w:div>
    <w:div w:id="397359978">
      <w:bodyDiv w:val="1"/>
      <w:marLeft w:val="0"/>
      <w:marRight w:val="0"/>
      <w:marTop w:val="0"/>
      <w:marBottom w:val="0"/>
      <w:divBdr>
        <w:top w:val="none" w:sz="0" w:space="0" w:color="auto"/>
        <w:left w:val="none" w:sz="0" w:space="0" w:color="auto"/>
        <w:bottom w:val="none" w:sz="0" w:space="0" w:color="auto"/>
        <w:right w:val="none" w:sz="0" w:space="0" w:color="auto"/>
      </w:divBdr>
    </w:div>
    <w:div w:id="454830447">
      <w:bodyDiv w:val="1"/>
      <w:marLeft w:val="0"/>
      <w:marRight w:val="0"/>
      <w:marTop w:val="0"/>
      <w:marBottom w:val="0"/>
      <w:divBdr>
        <w:top w:val="none" w:sz="0" w:space="0" w:color="auto"/>
        <w:left w:val="none" w:sz="0" w:space="0" w:color="auto"/>
        <w:bottom w:val="none" w:sz="0" w:space="0" w:color="auto"/>
        <w:right w:val="none" w:sz="0" w:space="0" w:color="auto"/>
      </w:divBdr>
    </w:div>
    <w:div w:id="488860762">
      <w:bodyDiv w:val="1"/>
      <w:marLeft w:val="0"/>
      <w:marRight w:val="0"/>
      <w:marTop w:val="0"/>
      <w:marBottom w:val="0"/>
      <w:divBdr>
        <w:top w:val="none" w:sz="0" w:space="0" w:color="auto"/>
        <w:left w:val="none" w:sz="0" w:space="0" w:color="auto"/>
        <w:bottom w:val="none" w:sz="0" w:space="0" w:color="auto"/>
        <w:right w:val="none" w:sz="0" w:space="0" w:color="auto"/>
      </w:divBdr>
    </w:div>
    <w:div w:id="508257571">
      <w:bodyDiv w:val="1"/>
      <w:marLeft w:val="0"/>
      <w:marRight w:val="0"/>
      <w:marTop w:val="0"/>
      <w:marBottom w:val="0"/>
      <w:divBdr>
        <w:top w:val="none" w:sz="0" w:space="0" w:color="auto"/>
        <w:left w:val="none" w:sz="0" w:space="0" w:color="auto"/>
        <w:bottom w:val="none" w:sz="0" w:space="0" w:color="auto"/>
        <w:right w:val="none" w:sz="0" w:space="0" w:color="auto"/>
      </w:divBdr>
    </w:div>
    <w:div w:id="520707681">
      <w:bodyDiv w:val="1"/>
      <w:marLeft w:val="0"/>
      <w:marRight w:val="0"/>
      <w:marTop w:val="0"/>
      <w:marBottom w:val="0"/>
      <w:divBdr>
        <w:top w:val="none" w:sz="0" w:space="0" w:color="auto"/>
        <w:left w:val="none" w:sz="0" w:space="0" w:color="auto"/>
        <w:bottom w:val="none" w:sz="0" w:space="0" w:color="auto"/>
        <w:right w:val="none" w:sz="0" w:space="0" w:color="auto"/>
      </w:divBdr>
    </w:div>
    <w:div w:id="541358469">
      <w:bodyDiv w:val="1"/>
      <w:marLeft w:val="0"/>
      <w:marRight w:val="0"/>
      <w:marTop w:val="0"/>
      <w:marBottom w:val="0"/>
      <w:divBdr>
        <w:top w:val="none" w:sz="0" w:space="0" w:color="auto"/>
        <w:left w:val="none" w:sz="0" w:space="0" w:color="auto"/>
        <w:bottom w:val="none" w:sz="0" w:space="0" w:color="auto"/>
        <w:right w:val="none" w:sz="0" w:space="0" w:color="auto"/>
      </w:divBdr>
    </w:div>
    <w:div w:id="564922974">
      <w:bodyDiv w:val="1"/>
      <w:marLeft w:val="0"/>
      <w:marRight w:val="0"/>
      <w:marTop w:val="0"/>
      <w:marBottom w:val="0"/>
      <w:divBdr>
        <w:top w:val="none" w:sz="0" w:space="0" w:color="auto"/>
        <w:left w:val="none" w:sz="0" w:space="0" w:color="auto"/>
        <w:bottom w:val="none" w:sz="0" w:space="0" w:color="auto"/>
        <w:right w:val="none" w:sz="0" w:space="0" w:color="auto"/>
      </w:divBdr>
    </w:div>
    <w:div w:id="567884387">
      <w:bodyDiv w:val="1"/>
      <w:marLeft w:val="0"/>
      <w:marRight w:val="0"/>
      <w:marTop w:val="0"/>
      <w:marBottom w:val="0"/>
      <w:divBdr>
        <w:top w:val="none" w:sz="0" w:space="0" w:color="auto"/>
        <w:left w:val="none" w:sz="0" w:space="0" w:color="auto"/>
        <w:bottom w:val="none" w:sz="0" w:space="0" w:color="auto"/>
        <w:right w:val="none" w:sz="0" w:space="0" w:color="auto"/>
      </w:divBdr>
    </w:div>
    <w:div w:id="679354687">
      <w:bodyDiv w:val="1"/>
      <w:marLeft w:val="0"/>
      <w:marRight w:val="0"/>
      <w:marTop w:val="0"/>
      <w:marBottom w:val="0"/>
      <w:divBdr>
        <w:top w:val="none" w:sz="0" w:space="0" w:color="auto"/>
        <w:left w:val="none" w:sz="0" w:space="0" w:color="auto"/>
        <w:bottom w:val="none" w:sz="0" w:space="0" w:color="auto"/>
        <w:right w:val="none" w:sz="0" w:space="0" w:color="auto"/>
      </w:divBdr>
    </w:div>
    <w:div w:id="771974824">
      <w:bodyDiv w:val="1"/>
      <w:marLeft w:val="0"/>
      <w:marRight w:val="0"/>
      <w:marTop w:val="0"/>
      <w:marBottom w:val="0"/>
      <w:divBdr>
        <w:top w:val="none" w:sz="0" w:space="0" w:color="auto"/>
        <w:left w:val="none" w:sz="0" w:space="0" w:color="auto"/>
        <w:bottom w:val="none" w:sz="0" w:space="0" w:color="auto"/>
        <w:right w:val="none" w:sz="0" w:space="0" w:color="auto"/>
      </w:divBdr>
    </w:div>
    <w:div w:id="827669880">
      <w:bodyDiv w:val="1"/>
      <w:marLeft w:val="0"/>
      <w:marRight w:val="0"/>
      <w:marTop w:val="0"/>
      <w:marBottom w:val="0"/>
      <w:divBdr>
        <w:top w:val="none" w:sz="0" w:space="0" w:color="auto"/>
        <w:left w:val="none" w:sz="0" w:space="0" w:color="auto"/>
        <w:bottom w:val="none" w:sz="0" w:space="0" w:color="auto"/>
        <w:right w:val="none" w:sz="0" w:space="0" w:color="auto"/>
      </w:divBdr>
    </w:div>
    <w:div w:id="891312216">
      <w:bodyDiv w:val="1"/>
      <w:marLeft w:val="0"/>
      <w:marRight w:val="0"/>
      <w:marTop w:val="0"/>
      <w:marBottom w:val="0"/>
      <w:divBdr>
        <w:top w:val="none" w:sz="0" w:space="0" w:color="auto"/>
        <w:left w:val="none" w:sz="0" w:space="0" w:color="auto"/>
        <w:bottom w:val="none" w:sz="0" w:space="0" w:color="auto"/>
        <w:right w:val="none" w:sz="0" w:space="0" w:color="auto"/>
      </w:divBdr>
    </w:div>
    <w:div w:id="895315096">
      <w:bodyDiv w:val="1"/>
      <w:marLeft w:val="0"/>
      <w:marRight w:val="0"/>
      <w:marTop w:val="0"/>
      <w:marBottom w:val="0"/>
      <w:divBdr>
        <w:top w:val="none" w:sz="0" w:space="0" w:color="auto"/>
        <w:left w:val="none" w:sz="0" w:space="0" w:color="auto"/>
        <w:bottom w:val="none" w:sz="0" w:space="0" w:color="auto"/>
        <w:right w:val="none" w:sz="0" w:space="0" w:color="auto"/>
      </w:divBdr>
    </w:div>
    <w:div w:id="914894664">
      <w:bodyDiv w:val="1"/>
      <w:marLeft w:val="0"/>
      <w:marRight w:val="0"/>
      <w:marTop w:val="0"/>
      <w:marBottom w:val="0"/>
      <w:divBdr>
        <w:top w:val="none" w:sz="0" w:space="0" w:color="auto"/>
        <w:left w:val="none" w:sz="0" w:space="0" w:color="auto"/>
        <w:bottom w:val="none" w:sz="0" w:space="0" w:color="auto"/>
        <w:right w:val="none" w:sz="0" w:space="0" w:color="auto"/>
      </w:divBdr>
    </w:div>
    <w:div w:id="1012411684">
      <w:bodyDiv w:val="1"/>
      <w:marLeft w:val="0"/>
      <w:marRight w:val="0"/>
      <w:marTop w:val="0"/>
      <w:marBottom w:val="0"/>
      <w:divBdr>
        <w:top w:val="none" w:sz="0" w:space="0" w:color="auto"/>
        <w:left w:val="none" w:sz="0" w:space="0" w:color="auto"/>
        <w:bottom w:val="none" w:sz="0" w:space="0" w:color="auto"/>
        <w:right w:val="none" w:sz="0" w:space="0" w:color="auto"/>
      </w:divBdr>
    </w:div>
    <w:div w:id="1071390817">
      <w:bodyDiv w:val="1"/>
      <w:marLeft w:val="0"/>
      <w:marRight w:val="0"/>
      <w:marTop w:val="0"/>
      <w:marBottom w:val="0"/>
      <w:divBdr>
        <w:top w:val="none" w:sz="0" w:space="0" w:color="auto"/>
        <w:left w:val="none" w:sz="0" w:space="0" w:color="auto"/>
        <w:bottom w:val="none" w:sz="0" w:space="0" w:color="auto"/>
        <w:right w:val="none" w:sz="0" w:space="0" w:color="auto"/>
      </w:divBdr>
    </w:div>
    <w:div w:id="1083143771">
      <w:bodyDiv w:val="1"/>
      <w:marLeft w:val="0"/>
      <w:marRight w:val="0"/>
      <w:marTop w:val="0"/>
      <w:marBottom w:val="0"/>
      <w:divBdr>
        <w:top w:val="none" w:sz="0" w:space="0" w:color="auto"/>
        <w:left w:val="none" w:sz="0" w:space="0" w:color="auto"/>
        <w:bottom w:val="none" w:sz="0" w:space="0" w:color="auto"/>
        <w:right w:val="none" w:sz="0" w:space="0" w:color="auto"/>
      </w:divBdr>
    </w:div>
    <w:div w:id="1083721531">
      <w:bodyDiv w:val="1"/>
      <w:marLeft w:val="0"/>
      <w:marRight w:val="0"/>
      <w:marTop w:val="0"/>
      <w:marBottom w:val="0"/>
      <w:divBdr>
        <w:top w:val="none" w:sz="0" w:space="0" w:color="auto"/>
        <w:left w:val="none" w:sz="0" w:space="0" w:color="auto"/>
        <w:bottom w:val="none" w:sz="0" w:space="0" w:color="auto"/>
        <w:right w:val="none" w:sz="0" w:space="0" w:color="auto"/>
      </w:divBdr>
    </w:div>
    <w:div w:id="1117064456">
      <w:bodyDiv w:val="1"/>
      <w:marLeft w:val="0"/>
      <w:marRight w:val="0"/>
      <w:marTop w:val="0"/>
      <w:marBottom w:val="0"/>
      <w:divBdr>
        <w:top w:val="none" w:sz="0" w:space="0" w:color="auto"/>
        <w:left w:val="none" w:sz="0" w:space="0" w:color="auto"/>
        <w:bottom w:val="none" w:sz="0" w:space="0" w:color="auto"/>
        <w:right w:val="none" w:sz="0" w:space="0" w:color="auto"/>
      </w:divBdr>
    </w:div>
    <w:div w:id="1127042273">
      <w:bodyDiv w:val="1"/>
      <w:marLeft w:val="0"/>
      <w:marRight w:val="0"/>
      <w:marTop w:val="0"/>
      <w:marBottom w:val="0"/>
      <w:divBdr>
        <w:top w:val="none" w:sz="0" w:space="0" w:color="auto"/>
        <w:left w:val="none" w:sz="0" w:space="0" w:color="auto"/>
        <w:bottom w:val="none" w:sz="0" w:space="0" w:color="auto"/>
        <w:right w:val="none" w:sz="0" w:space="0" w:color="auto"/>
      </w:divBdr>
    </w:div>
    <w:div w:id="1148550328">
      <w:bodyDiv w:val="1"/>
      <w:marLeft w:val="0"/>
      <w:marRight w:val="0"/>
      <w:marTop w:val="0"/>
      <w:marBottom w:val="0"/>
      <w:divBdr>
        <w:top w:val="none" w:sz="0" w:space="0" w:color="auto"/>
        <w:left w:val="none" w:sz="0" w:space="0" w:color="auto"/>
        <w:bottom w:val="none" w:sz="0" w:space="0" w:color="auto"/>
        <w:right w:val="none" w:sz="0" w:space="0" w:color="auto"/>
      </w:divBdr>
    </w:div>
    <w:div w:id="1169948863">
      <w:bodyDiv w:val="1"/>
      <w:marLeft w:val="0"/>
      <w:marRight w:val="0"/>
      <w:marTop w:val="0"/>
      <w:marBottom w:val="0"/>
      <w:divBdr>
        <w:top w:val="none" w:sz="0" w:space="0" w:color="auto"/>
        <w:left w:val="none" w:sz="0" w:space="0" w:color="auto"/>
        <w:bottom w:val="none" w:sz="0" w:space="0" w:color="auto"/>
        <w:right w:val="none" w:sz="0" w:space="0" w:color="auto"/>
      </w:divBdr>
    </w:div>
    <w:div w:id="1255548627">
      <w:bodyDiv w:val="1"/>
      <w:marLeft w:val="0"/>
      <w:marRight w:val="0"/>
      <w:marTop w:val="0"/>
      <w:marBottom w:val="0"/>
      <w:divBdr>
        <w:top w:val="none" w:sz="0" w:space="0" w:color="auto"/>
        <w:left w:val="none" w:sz="0" w:space="0" w:color="auto"/>
        <w:bottom w:val="none" w:sz="0" w:space="0" w:color="auto"/>
        <w:right w:val="none" w:sz="0" w:space="0" w:color="auto"/>
      </w:divBdr>
    </w:div>
    <w:div w:id="1299649330">
      <w:bodyDiv w:val="1"/>
      <w:marLeft w:val="0"/>
      <w:marRight w:val="0"/>
      <w:marTop w:val="0"/>
      <w:marBottom w:val="0"/>
      <w:divBdr>
        <w:top w:val="none" w:sz="0" w:space="0" w:color="auto"/>
        <w:left w:val="none" w:sz="0" w:space="0" w:color="auto"/>
        <w:bottom w:val="none" w:sz="0" w:space="0" w:color="auto"/>
        <w:right w:val="none" w:sz="0" w:space="0" w:color="auto"/>
      </w:divBdr>
    </w:div>
    <w:div w:id="1428649013">
      <w:bodyDiv w:val="1"/>
      <w:marLeft w:val="0"/>
      <w:marRight w:val="0"/>
      <w:marTop w:val="0"/>
      <w:marBottom w:val="0"/>
      <w:divBdr>
        <w:top w:val="none" w:sz="0" w:space="0" w:color="auto"/>
        <w:left w:val="none" w:sz="0" w:space="0" w:color="auto"/>
        <w:bottom w:val="none" w:sz="0" w:space="0" w:color="auto"/>
        <w:right w:val="none" w:sz="0" w:space="0" w:color="auto"/>
      </w:divBdr>
    </w:div>
    <w:div w:id="1602952703">
      <w:bodyDiv w:val="1"/>
      <w:marLeft w:val="0"/>
      <w:marRight w:val="0"/>
      <w:marTop w:val="0"/>
      <w:marBottom w:val="0"/>
      <w:divBdr>
        <w:top w:val="none" w:sz="0" w:space="0" w:color="auto"/>
        <w:left w:val="none" w:sz="0" w:space="0" w:color="auto"/>
        <w:bottom w:val="none" w:sz="0" w:space="0" w:color="auto"/>
        <w:right w:val="none" w:sz="0" w:space="0" w:color="auto"/>
      </w:divBdr>
    </w:div>
    <w:div w:id="1615282839">
      <w:bodyDiv w:val="1"/>
      <w:marLeft w:val="0"/>
      <w:marRight w:val="0"/>
      <w:marTop w:val="0"/>
      <w:marBottom w:val="0"/>
      <w:divBdr>
        <w:top w:val="none" w:sz="0" w:space="0" w:color="auto"/>
        <w:left w:val="none" w:sz="0" w:space="0" w:color="auto"/>
        <w:bottom w:val="none" w:sz="0" w:space="0" w:color="auto"/>
        <w:right w:val="none" w:sz="0" w:space="0" w:color="auto"/>
      </w:divBdr>
    </w:div>
    <w:div w:id="1625112040">
      <w:bodyDiv w:val="1"/>
      <w:marLeft w:val="0"/>
      <w:marRight w:val="0"/>
      <w:marTop w:val="0"/>
      <w:marBottom w:val="0"/>
      <w:divBdr>
        <w:top w:val="none" w:sz="0" w:space="0" w:color="auto"/>
        <w:left w:val="none" w:sz="0" w:space="0" w:color="auto"/>
        <w:bottom w:val="none" w:sz="0" w:space="0" w:color="auto"/>
        <w:right w:val="none" w:sz="0" w:space="0" w:color="auto"/>
      </w:divBdr>
    </w:div>
    <w:div w:id="1656834903">
      <w:bodyDiv w:val="1"/>
      <w:marLeft w:val="0"/>
      <w:marRight w:val="0"/>
      <w:marTop w:val="0"/>
      <w:marBottom w:val="0"/>
      <w:divBdr>
        <w:top w:val="none" w:sz="0" w:space="0" w:color="auto"/>
        <w:left w:val="none" w:sz="0" w:space="0" w:color="auto"/>
        <w:bottom w:val="none" w:sz="0" w:space="0" w:color="auto"/>
        <w:right w:val="none" w:sz="0" w:space="0" w:color="auto"/>
      </w:divBdr>
    </w:div>
    <w:div w:id="1660575348">
      <w:bodyDiv w:val="1"/>
      <w:marLeft w:val="0"/>
      <w:marRight w:val="0"/>
      <w:marTop w:val="0"/>
      <w:marBottom w:val="0"/>
      <w:divBdr>
        <w:top w:val="none" w:sz="0" w:space="0" w:color="auto"/>
        <w:left w:val="none" w:sz="0" w:space="0" w:color="auto"/>
        <w:bottom w:val="none" w:sz="0" w:space="0" w:color="auto"/>
        <w:right w:val="none" w:sz="0" w:space="0" w:color="auto"/>
      </w:divBdr>
    </w:div>
    <w:div w:id="1692032161">
      <w:bodyDiv w:val="1"/>
      <w:marLeft w:val="0"/>
      <w:marRight w:val="0"/>
      <w:marTop w:val="0"/>
      <w:marBottom w:val="0"/>
      <w:divBdr>
        <w:top w:val="none" w:sz="0" w:space="0" w:color="auto"/>
        <w:left w:val="none" w:sz="0" w:space="0" w:color="auto"/>
        <w:bottom w:val="none" w:sz="0" w:space="0" w:color="auto"/>
        <w:right w:val="none" w:sz="0" w:space="0" w:color="auto"/>
      </w:divBdr>
    </w:div>
    <w:div w:id="1701399260">
      <w:bodyDiv w:val="1"/>
      <w:marLeft w:val="0"/>
      <w:marRight w:val="0"/>
      <w:marTop w:val="0"/>
      <w:marBottom w:val="0"/>
      <w:divBdr>
        <w:top w:val="none" w:sz="0" w:space="0" w:color="auto"/>
        <w:left w:val="none" w:sz="0" w:space="0" w:color="auto"/>
        <w:bottom w:val="none" w:sz="0" w:space="0" w:color="auto"/>
        <w:right w:val="none" w:sz="0" w:space="0" w:color="auto"/>
      </w:divBdr>
    </w:div>
    <w:div w:id="1755129517">
      <w:bodyDiv w:val="1"/>
      <w:marLeft w:val="0"/>
      <w:marRight w:val="0"/>
      <w:marTop w:val="0"/>
      <w:marBottom w:val="0"/>
      <w:divBdr>
        <w:top w:val="none" w:sz="0" w:space="0" w:color="auto"/>
        <w:left w:val="none" w:sz="0" w:space="0" w:color="auto"/>
        <w:bottom w:val="none" w:sz="0" w:space="0" w:color="auto"/>
        <w:right w:val="none" w:sz="0" w:space="0" w:color="auto"/>
      </w:divBdr>
    </w:div>
    <w:div w:id="1809475735">
      <w:bodyDiv w:val="1"/>
      <w:marLeft w:val="0"/>
      <w:marRight w:val="0"/>
      <w:marTop w:val="0"/>
      <w:marBottom w:val="0"/>
      <w:divBdr>
        <w:top w:val="none" w:sz="0" w:space="0" w:color="auto"/>
        <w:left w:val="none" w:sz="0" w:space="0" w:color="auto"/>
        <w:bottom w:val="none" w:sz="0" w:space="0" w:color="auto"/>
        <w:right w:val="none" w:sz="0" w:space="0" w:color="auto"/>
      </w:divBdr>
    </w:div>
    <w:div w:id="1814129665">
      <w:bodyDiv w:val="1"/>
      <w:marLeft w:val="0"/>
      <w:marRight w:val="0"/>
      <w:marTop w:val="0"/>
      <w:marBottom w:val="0"/>
      <w:divBdr>
        <w:top w:val="none" w:sz="0" w:space="0" w:color="auto"/>
        <w:left w:val="none" w:sz="0" w:space="0" w:color="auto"/>
        <w:bottom w:val="none" w:sz="0" w:space="0" w:color="auto"/>
        <w:right w:val="none" w:sz="0" w:space="0" w:color="auto"/>
      </w:divBdr>
    </w:div>
    <w:div w:id="1830364879">
      <w:bodyDiv w:val="1"/>
      <w:marLeft w:val="0"/>
      <w:marRight w:val="0"/>
      <w:marTop w:val="0"/>
      <w:marBottom w:val="0"/>
      <w:divBdr>
        <w:top w:val="none" w:sz="0" w:space="0" w:color="auto"/>
        <w:left w:val="none" w:sz="0" w:space="0" w:color="auto"/>
        <w:bottom w:val="none" w:sz="0" w:space="0" w:color="auto"/>
        <w:right w:val="none" w:sz="0" w:space="0" w:color="auto"/>
      </w:divBdr>
    </w:div>
    <w:div w:id="1842619661">
      <w:bodyDiv w:val="1"/>
      <w:marLeft w:val="0"/>
      <w:marRight w:val="0"/>
      <w:marTop w:val="0"/>
      <w:marBottom w:val="0"/>
      <w:divBdr>
        <w:top w:val="none" w:sz="0" w:space="0" w:color="auto"/>
        <w:left w:val="none" w:sz="0" w:space="0" w:color="auto"/>
        <w:bottom w:val="none" w:sz="0" w:space="0" w:color="auto"/>
        <w:right w:val="none" w:sz="0" w:space="0" w:color="auto"/>
      </w:divBdr>
    </w:div>
    <w:div w:id="1851214224">
      <w:bodyDiv w:val="1"/>
      <w:marLeft w:val="0"/>
      <w:marRight w:val="0"/>
      <w:marTop w:val="0"/>
      <w:marBottom w:val="0"/>
      <w:divBdr>
        <w:top w:val="none" w:sz="0" w:space="0" w:color="auto"/>
        <w:left w:val="none" w:sz="0" w:space="0" w:color="auto"/>
        <w:bottom w:val="none" w:sz="0" w:space="0" w:color="auto"/>
        <w:right w:val="none" w:sz="0" w:space="0" w:color="auto"/>
      </w:divBdr>
    </w:div>
    <w:div w:id="1891531929">
      <w:bodyDiv w:val="1"/>
      <w:marLeft w:val="0"/>
      <w:marRight w:val="0"/>
      <w:marTop w:val="0"/>
      <w:marBottom w:val="0"/>
      <w:divBdr>
        <w:top w:val="none" w:sz="0" w:space="0" w:color="auto"/>
        <w:left w:val="none" w:sz="0" w:space="0" w:color="auto"/>
        <w:bottom w:val="none" w:sz="0" w:space="0" w:color="auto"/>
        <w:right w:val="none" w:sz="0" w:space="0" w:color="auto"/>
      </w:divBdr>
    </w:div>
    <w:div w:id="1905216925">
      <w:bodyDiv w:val="1"/>
      <w:marLeft w:val="0"/>
      <w:marRight w:val="0"/>
      <w:marTop w:val="0"/>
      <w:marBottom w:val="0"/>
      <w:divBdr>
        <w:top w:val="none" w:sz="0" w:space="0" w:color="auto"/>
        <w:left w:val="none" w:sz="0" w:space="0" w:color="auto"/>
        <w:bottom w:val="none" w:sz="0" w:space="0" w:color="auto"/>
        <w:right w:val="none" w:sz="0" w:space="0" w:color="auto"/>
      </w:divBdr>
    </w:div>
    <w:div w:id="1910993047">
      <w:bodyDiv w:val="1"/>
      <w:marLeft w:val="0"/>
      <w:marRight w:val="0"/>
      <w:marTop w:val="0"/>
      <w:marBottom w:val="0"/>
      <w:divBdr>
        <w:top w:val="none" w:sz="0" w:space="0" w:color="auto"/>
        <w:left w:val="none" w:sz="0" w:space="0" w:color="auto"/>
        <w:bottom w:val="none" w:sz="0" w:space="0" w:color="auto"/>
        <w:right w:val="none" w:sz="0" w:space="0" w:color="auto"/>
      </w:divBdr>
    </w:div>
    <w:div w:id="1919094464">
      <w:bodyDiv w:val="1"/>
      <w:marLeft w:val="0"/>
      <w:marRight w:val="0"/>
      <w:marTop w:val="0"/>
      <w:marBottom w:val="0"/>
      <w:divBdr>
        <w:top w:val="none" w:sz="0" w:space="0" w:color="auto"/>
        <w:left w:val="none" w:sz="0" w:space="0" w:color="auto"/>
        <w:bottom w:val="none" w:sz="0" w:space="0" w:color="auto"/>
        <w:right w:val="none" w:sz="0" w:space="0" w:color="auto"/>
      </w:divBdr>
    </w:div>
    <w:div w:id="1951400757">
      <w:bodyDiv w:val="1"/>
      <w:marLeft w:val="0"/>
      <w:marRight w:val="0"/>
      <w:marTop w:val="0"/>
      <w:marBottom w:val="0"/>
      <w:divBdr>
        <w:top w:val="none" w:sz="0" w:space="0" w:color="auto"/>
        <w:left w:val="none" w:sz="0" w:space="0" w:color="auto"/>
        <w:bottom w:val="none" w:sz="0" w:space="0" w:color="auto"/>
        <w:right w:val="none" w:sz="0" w:space="0" w:color="auto"/>
      </w:divBdr>
    </w:div>
    <w:div w:id="1990665618">
      <w:bodyDiv w:val="1"/>
      <w:marLeft w:val="0"/>
      <w:marRight w:val="0"/>
      <w:marTop w:val="0"/>
      <w:marBottom w:val="0"/>
      <w:divBdr>
        <w:top w:val="none" w:sz="0" w:space="0" w:color="auto"/>
        <w:left w:val="none" w:sz="0" w:space="0" w:color="auto"/>
        <w:bottom w:val="none" w:sz="0" w:space="0" w:color="auto"/>
        <w:right w:val="none" w:sz="0" w:space="0" w:color="auto"/>
      </w:divBdr>
    </w:div>
    <w:div w:id="2022320667">
      <w:bodyDiv w:val="1"/>
      <w:marLeft w:val="0"/>
      <w:marRight w:val="0"/>
      <w:marTop w:val="0"/>
      <w:marBottom w:val="0"/>
      <w:divBdr>
        <w:top w:val="none" w:sz="0" w:space="0" w:color="auto"/>
        <w:left w:val="none" w:sz="0" w:space="0" w:color="auto"/>
        <w:bottom w:val="none" w:sz="0" w:space="0" w:color="auto"/>
        <w:right w:val="none" w:sz="0" w:space="0" w:color="auto"/>
      </w:divBdr>
    </w:div>
    <w:div w:id="2067341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Y&amp;serNum=2003124963&amp;pubNum=0000506&amp;originatingDoc=I550b0110e0ad11eabaabff88df14112a&amp;refType=RP&amp;originationContext=document&amp;transitionType=DocumentItem&amp;contextData=(sc.History*oc.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8031212-23CE-4FC0-9D1F-8DEF7987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6005</Words>
  <Characters>34231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Jacklyn DeMar</dc:creator>
  <cp:lastModifiedBy>Microsoft Office User</cp:lastModifiedBy>
  <cp:revision>2</cp:revision>
  <dcterms:created xsi:type="dcterms:W3CDTF">2021-02-17T15:05:00Z</dcterms:created>
  <dcterms:modified xsi:type="dcterms:W3CDTF">2021-02-17T15:05:00Z</dcterms:modified>
</cp:coreProperties>
</file>